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предоставлении гражданам бесплатной юридической помощи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Республики Татарстан в I квартале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40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779"/>
        <w:gridCol w:w="900"/>
        <w:gridCol w:w="2900"/>
        <w:gridCol w:w="1240"/>
        <w:gridCol w:w="1081"/>
        <w:gridCol w:w="899"/>
        <w:gridCol w:w="719"/>
        <w:gridCol w:w="900"/>
        <w:gridCol w:w="721"/>
        <w:gridCol w:w="1080"/>
        <w:gridCol w:w="719"/>
      </w:tblGrid>
      <w:tr>
        <w:trPr>
          <w:trHeight w:val="32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устной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письменной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местного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36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PictureBullets_Копия_1"/>
            <w:bookmarkEnd w:id="0"/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pStyle w:val="Style51"/>
        <w:widowControl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1"/>
        <w:widowControl/>
        <w:spacing w:lineRule="auto" w:line="240" w:before="0" w:after="0"/>
        <w:ind w:hanging="0" w:left="0"/>
        <w:jc w:val="center"/>
        <w:rPr>
          <w:rStyle w:val="FontStyle18"/>
          <w:rFonts w:ascii="Times New Roman" w:hAnsi="Times New Roman" w:eastAsia="Times New Roman"/>
          <w:sz w:val="24"/>
          <w:szCs w:val="24"/>
        </w:rPr>
      </w:pPr>
      <w:r>
        <w:rPr/>
      </w:r>
    </w:p>
    <w:p>
      <w:pPr>
        <w:pStyle w:val="Style51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 xml:space="preserve">Отчет </w:t>
      </w:r>
    </w:p>
    <w:p>
      <w:pPr>
        <w:pStyle w:val="Style51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>по правовому информированию и правовому просвещению граждан</w:t>
      </w:r>
    </w:p>
    <w:p>
      <w:pPr>
        <w:pStyle w:val="Style51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  <w:lang w:eastAsia="zh-CN"/>
        </w:rPr>
        <w:t xml:space="preserve">участниками государственной системы бесплатной юридической помощи </w:t>
      </w:r>
    </w:p>
    <w:p>
      <w:pPr>
        <w:pStyle w:val="Style51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>в I квартале 202</w:t>
      </w:r>
      <w:r>
        <w:rPr>
          <w:rStyle w:val="FontStyle18"/>
          <w:rFonts w:eastAsia="Times New Roman" w:ascii="Times New Roman" w:hAnsi="Times New Roman"/>
          <w:sz w:val="24"/>
          <w:szCs w:val="24"/>
        </w:rPr>
        <w:t>6</w:t>
      </w:r>
      <w:r>
        <w:rPr>
          <w:rStyle w:val="FontStyle18"/>
          <w:rFonts w:eastAsia="Times New Roman" w:ascii="Times New Roman" w:hAnsi="Times New Roman"/>
          <w:sz w:val="24"/>
          <w:szCs w:val="24"/>
        </w:rPr>
        <w:t xml:space="preserve"> года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108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1801"/>
        <w:gridCol w:w="1888"/>
        <w:gridCol w:w="1709"/>
        <w:gridCol w:w="6663"/>
      </w:tblGrid>
      <w:tr>
        <w:trPr/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imes New Roman" w:ascii="Times New Roman" w:hAnsi="Times New Roman"/>
                <w:sz w:val="20"/>
                <w:szCs w:val="20"/>
              </w:rPr>
              <w:t>Наименование участника государственной системы бесплатной юридической помощи</w:t>
            </w:r>
            <w:bookmarkStart w:id="1" w:name="_GoBack"/>
            <w:bookmarkEnd w:id="1"/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в средствах массовой информации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в сети «Интернет»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изданных брошюр, памяток и т.д.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иным способом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ind w:hanging="0" w:left="249"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PictureBullets_Копия_1"/>
      <w:bookmarkStart w:id="3" w:name="_PictureBullets"/>
      <w:bookmarkStart w:id="4" w:name="_PictureBullets_Копия_1"/>
      <w:bookmarkStart w:id="5" w:name="_PictureBullets"/>
      <w:bookmarkEnd w:id="4"/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46" w:top="219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styleId="Style7">
    <w:name w:val="Верхний колонтитул Знак"/>
    <w:qFormat/>
    <w:rPr>
      <w:sz w:val="24"/>
      <w:szCs w:val="24"/>
      <w:lang w:val="ru-RU" w:bidi="ar-SA"/>
    </w:rPr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left="0" w:right="0"/>
    </w:pPr>
    <w:rPr/>
  </w:style>
  <w:style w:type="paragraph" w:styleId="user42">
    <w:name w:val="Заголовок списка (user)"/>
    <w:basedOn w:val="Normal"/>
    <w:next w:val="user41"/>
    <w:qFormat/>
    <w:pPr>
      <w:ind w:hanging="0" w:left="0" w:right="0"/>
    </w:pPr>
    <w:rPr/>
  </w:style>
  <w:style w:type="paragraph" w:styleId="Style11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2">
    <w:name w:val="Исполнитель документа"/>
    <w:basedOn w:val="Normal"/>
    <w:qFormat/>
    <w:pPr>
      <w:jc w:val="lef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Style51">
    <w:name w:val="Style5"/>
    <w:basedOn w:val="Normal"/>
    <w:qFormat/>
    <w:pPr>
      <w:widowControl w:val="false"/>
      <w:spacing w:lineRule="exact" w:line="265" w:before="0" w:after="0"/>
      <w:jc w:val="both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3">
    <w:name w:val="Нумерованный а)"/>
    <w:qFormat/>
  </w:style>
  <w:style w:type="numbering" w:styleId="Style1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LibreOffice/25.2.6.2$Linux_X86_64 LibreOffice_project/520$Build-2</Application>
  <AppVersion>15.0000</AppVersion>
  <Pages>5</Pages>
  <Words>927</Words>
  <Characters>5501</Characters>
  <CharactersWithSpaces>6240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2026-03-31T11:51:15Z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