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    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Доклад о правоприменительной практике по итогам</w:t>
      </w:r>
    </w:p>
    <w:p>
      <w:pPr>
        <w:pStyle w:val="Normal"/>
        <w:spacing w:lineRule="auto" w:line="240" w:before="0" w:after="0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осуществления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регионального государственного геологического контроля (надзора) </w:t>
      </w:r>
      <w:bookmarkStart w:id="0" w:name="_GoBack"/>
      <w:bookmarkEnd w:id="0"/>
      <w:r>
        <w:rPr>
          <w:rFonts w:cs="Times New Roman" w:ascii="Times New Roman" w:hAnsi="Times New Roman"/>
          <w:b/>
          <w:color w:val="000000"/>
          <w:sz w:val="28"/>
          <w:szCs w:val="28"/>
        </w:rPr>
        <w:t>за 2025 год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Министерство экологии и природных ресурсов Республики Татарстан осуществляет региональный государственный контроль (надзор) в соответствии с нормами Федерального закона № 248-ФЗ «О государственном контроле (надзоре) и муниципальном контроле в Российской Федерации» от 31.07.2020., а также  в соответствии с требованиями Постановления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контроля». Указанным постановлением  установлены ограничения на проведение контрольных (надзорных) мероприятий.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  <w:t>Положением о региональном государственном геологическом контроле (надзоре), утвержденным Постановлением Кабинета Министров № 940 от 30 сентября 2021 года (далее - Положение),  установлены требования к организации контроля (надзора). В том числе обязанность применения при организации и осуществлении регионального государственного контроля (надзора) риск - ориентированного подхода, требования о формировании перечней объектов контроля, требования об отнесении объектов контроля к категориям риска.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В 2025 году актуализированы перечни индикаторов риска нарушения обязательных требований при осуществлении регионального государственного геологического контроля (надзора), Положение дополнено шестью новыми индикаторами риска.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  <w:t>Осуществление регионального государственного геологического контроля заключается в соблюдении пользователями недр обязательных требований в области недропользования, установленных законодательством РФ и законодательством субъектов Российской Федерации.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  <w:t>На территории республики зарегистрированы 323 действующие лицензии на право пользования общераспространенными полезными ископаемыми, из них 198 — на суше, 125 — в акватории. На право пользования подземными водами зарегистрировано 1 865 лицензий.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В 2025 году в рамках осуществления регионального государственного геологического контроля (надзора) выявлено 47 нарушений природоохранного законодательства.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en-US"/>
        </w:rPr>
        <w:tab/>
        <w:t>Перечень нарушений, выявленных при региональном государственной экологическом (контроле) надзоре в соответствии со статьями Кодекса Российской Федерации об административных правонарушениях от 30.12.2001 № 195-ФЗ (далее - КоАП РФ):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Style w:val="ae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83"/>
        <w:gridCol w:w="4367"/>
        <w:gridCol w:w="1303"/>
        <w:gridCol w:w="901"/>
        <w:gridCol w:w="1226"/>
        <w:gridCol w:w="1224"/>
      </w:tblGrid>
      <w:tr>
        <w:trPr>
          <w:trHeight w:val="633" w:hRule="atLeast"/>
        </w:trPr>
        <w:tc>
          <w:tcPr>
            <w:tcW w:w="1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hanging="0" w:left="0"/>
              <w:jc w:val="center"/>
              <w:outlineLvl w:val="2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43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hanging="0" w:left="0"/>
              <w:jc w:val="center"/>
              <w:outlineLvl w:val="2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bidi="ar-SA"/>
              </w:rPr>
              <w:t>Наименование статьи</w:t>
            </w:r>
          </w:p>
        </w:tc>
        <w:tc>
          <w:tcPr>
            <w:tcW w:w="46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hanging="0" w:left="0"/>
              <w:jc w:val="center"/>
              <w:outlineLvl w:val="2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bidi="ar-SA"/>
              </w:rPr>
              <w:t>Количество выявленных нарушений, ед.</w:t>
            </w:r>
          </w:p>
        </w:tc>
      </w:tr>
      <w:tr>
        <w:trPr>
          <w:trHeight w:val="633" w:hRule="atLeast"/>
        </w:trPr>
        <w:tc>
          <w:tcPr>
            <w:tcW w:w="11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hanging="0" w:left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436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hanging="0" w:left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hanging="0" w:left="0"/>
              <w:jc w:val="center"/>
              <w:outlineLvl w:val="2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bidi="ar-SA"/>
              </w:rPr>
              <w:t>2022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hanging="0" w:left="0"/>
              <w:jc w:val="center"/>
              <w:outlineLvl w:val="2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bidi="ar-SA"/>
              </w:rPr>
              <w:t>2023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hanging="0" w:left="0"/>
              <w:jc w:val="center"/>
              <w:outlineLvl w:val="2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2024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hanging="0" w:left="0"/>
              <w:jc w:val="center"/>
              <w:outlineLvl w:val="2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2025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ст. 7.3 ч.2</w:t>
            </w:r>
          </w:p>
        </w:tc>
        <w:tc>
          <w:tcPr>
            <w:tcW w:w="43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hanging="0" w:left="0"/>
              <w:jc w:val="both"/>
              <w:outlineLvl w:val="0"/>
              <w:rPr>
                <w:color w:val="00000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/>
                <w:kern w:val="0"/>
                <w:sz w:val="24"/>
                <w:szCs w:val="24"/>
                <w:lang w:val="ru-RU" w:bidi="ar-SA"/>
              </w:rPr>
              <w:t>Нарушение условий, предусмотренных лицензией на пользование недрами, и (или) требований утвержденных в установленном порядке технических проектов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153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185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</w:tr>
      <w:tr>
        <w:trPr>
          <w:trHeight w:val="939" w:hRule="atLeast"/>
        </w:trPr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ст. 7.3 ч.1</w:t>
            </w:r>
          </w:p>
        </w:tc>
        <w:tc>
          <w:tcPr>
            <w:tcW w:w="43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hanging="0" w:left="0"/>
              <w:jc w:val="both"/>
              <w:outlineLvl w:val="0"/>
              <w:rPr>
                <w:color w:val="00000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/>
                <w:kern w:val="0"/>
                <w:sz w:val="24"/>
                <w:szCs w:val="24"/>
                <w:lang w:val="ru-RU" w:bidi="ar-SA"/>
              </w:rPr>
              <w:t>Пользование недрами без лицензии на пользование недрами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31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41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Министерством совместно с правоохранительными органами вынесено 44 административных штрафа на сумму 3,9 млн руб., вынесено 2 предупреждения.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По фактам нарушения требований законодательства о недрах  предъявлено 19 претензионно-исковых требований, из них: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ab/>
        <w:t>8 — о понуждении к устранению выявленных нарушений;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ab/>
        <w:t>11 — о возмещении вреда на сумму 30,3 млн руб.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Расчет вреда произведен в соответствии с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Правилами расчета размера вреда, причиненного недрам вследствие нарушения законодательства Российской Федерации о недрах, утвержденными Постановлением Правительства РФ от 04.07.2013 №  564.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Взаимодействие с органами прокуратуры осуществлялось по следующим направлениям: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- пресечение незаконной добычи общераспространенных полезных ископаемых (ОПИ) — по материалам Министерства были инициированы уголовные дела;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- выявление и устранение нарушений условий пользования недрами, включая случаи отсутствия согласованных технических проектов по ликвидации и консервации объектов недропользования;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- контроль за соблюдением водного законодательства, особенно в части пользования водными объектами без соответствующих разрешений.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В 2025 году Министерство направило в правоохранительные органы 370 материалов для принятия мер реагирования.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 xml:space="preserve">С целью принятия комплекса мер предупреждающего характера к лицам, в результате деятельности которых может быть причинен вред недрам проведены следующие профилактические мероприятия. 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 xml:space="preserve">В 2025 году территориальные управления Министерства в адрес контролируемых лиц выдали 39 предостережений о недопустимости нарушения обязательных требований и необходимости принятия мер по обеспечению их соблюдения. 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 xml:space="preserve">Проведено 10 профилактических визитов.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Проведено 6 консультирований недропользователей по вопросам, связанным с исполнением юридическими лицами и индивидуальными предпринимателями обязательных требований в области охраны и использования недр местного значения, установленных федеральными законами в области охраны и использования недр и принимаемыми в соответствии с ними иными нормативными правовыми актами Российской Федерации, Республики Татарстан, а также требований, содержащихся в лицензиях на пользование недрами и иных разрешительных документах.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Проведены профилактические (публичные) мероприятия для природопользователей по изменениям природоохранного законодательства, требованиям в области охраны окружающей среды. Информация по итогам проведенных профилактических мероприятий размещена на сайте Министерства. В период с 21 по 23 мая 2025 г. проведены профилактические (публичные) мероприятия на тему: «Об итогах работы Министерства экологии и природных ресурсов Республики Татарстан при осуществлении регионального государственного экологического и геологического контроля (надзора) в 2024 году и задачах на 2025 год. Обсуждение вопросов ликвидации мест  несанкционированного размещения отходов».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 xml:space="preserve">Также в соответствии с Программой профилактики рисков причинения вреда (ущерба) недрам местного значения и нарушению обязательных требований в области регионального государственного геологического контроля (надзора)  на 2026 год, утвержденной приказом Министерства № 1524-п от 12.12.2025,  запланировано проведение обязательных профилактических визитов в отношении 44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контролируемых лиц, принадлежащих им объектов контроля.</w:t>
      </w:r>
    </w:p>
    <w:p>
      <w:pPr>
        <w:pStyle w:val="BodyText"/>
        <w:spacing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ab/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Обязательный профилактический визит не предусматривает отказ контролируемого лица от его проведения.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 </w:t>
      </w:r>
      <w:r>
        <w:rPr>
          <w:rFonts w:eastAsia="Calibri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>
      <w:pPr>
        <w:pStyle w:val="BodyText"/>
        <w:spacing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ab/>
        <w:t>По окончании проведения обязательного профилактического визита составляется акт о проведении обязательного профилактического визита. 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sectPr>
      <w:headerReference w:type="default" r:id="rId2"/>
      <w:type w:val="nextPage"/>
      <w:pgSz w:w="11906" w:h="16838"/>
      <w:pgMar w:left="1134" w:right="567" w:gutter="0" w:header="709" w:top="766" w:footer="0" w:bottom="56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52.25pt;margin-top:0.05pt;width:5.6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27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9"/>
    <w:qFormat/>
    <w:locked/>
    <w:rsid w:val="00d731e4"/>
    <w:pPr>
      <w:spacing w:lineRule="auto" w:line="240"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9"/>
    <w:semiHidden/>
    <w:qFormat/>
    <w:locked/>
    <w:rsid w:val="007739b3"/>
    <w:rPr>
      <w:rFonts w:ascii="Cambria" w:hAnsi="Cambria" w:cs="Cambria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sid w:val="00ba5797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a77c82"/>
    <w:rPr/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a77c82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locked/>
    <w:rsid w:val="001b5b0f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uiPriority w:val="99"/>
    <w:qFormat/>
    <w:rsid w:val="00cf560f"/>
    <w:rPr/>
  </w:style>
  <w:style w:type="character" w:styleId="ConsPlusNormal" w:customStyle="1">
    <w:name w:val="ConsPlusNormal Знак"/>
    <w:link w:val="ConsPlusNormal1"/>
    <w:uiPriority w:val="99"/>
    <w:qFormat/>
    <w:locked/>
    <w:rsid w:val="00ea04a6"/>
    <w:rPr>
      <w:rFonts w:ascii="Arial" w:hAnsi="Arial" w:cs="Arial"/>
      <w:sz w:val="22"/>
      <w:szCs w:val="22"/>
      <w:lang w:val="ru-RU" w:eastAsia="ru-RU"/>
    </w:rPr>
  </w:style>
  <w:style w:type="character" w:styleId="FontStyle25" w:customStyle="1">
    <w:name w:val="Font Style25"/>
    <w:uiPriority w:val="99"/>
    <w:qFormat/>
    <w:rsid w:val="00194381"/>
    <w:rPr>
      <w:rFonts w:ascii="Times New Roman" w:hAnsi="Times New Roman" w:cs="Times New Roman"/>
      <w:sz w:val="24"/>
      <w:szCs w:val="24"/>
    </w:rPr>
  </w:style>
  <w:style w:type="character" w:styleId="FontStyle16" w:customStyle="1">
    <w:name w:val="Font Style16"/>
    <w:uiPriority w:val="99"/>
    <w:qFormat/>
    <w:rsid w:val="00194381"/>
    <w:rPr>
      <w:rFonts w:ascii="Times New Roman" w:hAnsi="Times New Roman" w:cs="Times New Roman"/>
      <w:sz w:val="24"/>
      <w:szCs w:val="24"/>
    </w:rPr>
  </w:style>
  <w:style w:type="character" w:styleId="FontStyle19" w:customStyle="1">
    <w:name w:val="Font Style19"/>
    <w:basedOn w:val="DefaultParagraphFont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FontStyle22" w:customStyle="1">
    <w:name w:val="Font Style22"/>
    <w:uiPriority w:val="99"/>
    <w:qFormat/>
    <w:rsid w:val="00194381"/>
    <w:rPr>
      <w:rFonts w:ascii="Times New Roman" w:hAnsi="Times New Roman" w:cs="Times New Roman"/>
      <w:b/>
      <w:bCs/>
      <w:sz w:val="26"/>
      <w:szCs w:val="26"/>
    </w:rPr>
  </w:style>
  <w:style w:type="character" w:styleId="FontStyle17" w:customStyle="1">
    <w:name w:val="Font Style17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WW8Num17z1" w:customStyle="1">
    <w:name w:val="WW8Num17z1"/>
    <w:uiPriority w:val="99"/>
    <w:qFormat/>
    <w:rsid w:val="00194381"/>
    <w:rPr/>
  </w:style>
  <w:style w:type="character" w:styleId="FontStyle21" w:customStyle="1">
    <w:name w:val="Font Style21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FontStyle20" w:customStyle="1">
    <w:name w:val="Font Style20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FontStyle13" w:customStyle="1">
    <w:name w:val="Font Style13"/>
    <w:uiPriority w:val="99"/>
    <w:qFormat/>
    <w:rsid w:val="00194381"/>
    <w:rPr>
      <w:rFonts w:ascii="Times New Roman" w:hAnsi="Times New Roman" w:cs="Times New Roman"/>
      <w:b/>
      <w:bCs/>
      <w:sz w:val="26"/>
      <w:szCs w:val="26"/>
    </w:rPr>
  </w:style>
  <w:style w:type="character" w:styleId="Bodytext2" w:customStyle="1">
    <w:name w:val="Body text (2)_"/>
    <w:link w:val="Bodytext21"/>
    <w:uiPriority w:val="99"/>
    <w:qFormat/>
    <w:locked/>
    <w:rsid w:val="00194381"/>
    <w:rPr>
      <w:sz w:val="28"/>
      <w:szCs w:val="28"/>
      <w:shd w:fill="FFFFFF" w:val="clear"/>
    </w:rPr>
  </w:style>
  <w:style w:type="character" w:styleId="FontStyle27" w:customStyle="1">
    <w:name w:val="Font Style27"/>
    <w:uiPriority w:val="99"/>
    <w:qFormat/>
    <w:rsid w:val="00194381"/>
    <w:rPr>
      <w:rFonts w:ascii="Times New Roman" w:hAnsi="Times New Roman" w:cs="Times New Roman"/>
      <w:sz w:val="22"/>
      <w:szCs w:val="22"/>
    </w:rPr>
  </w:style>
  <w:style w:type="character" w:styleId="FontStyle29" w:customStyle="1">
    <w:name w:val="Font Style29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Style16" w:customStyle="1">
    <w:name w:val="Основной текст + Полужирный"/>
    <w:uiPriority w:val="99"/>
    <w:qFormat/>
    <w:rsid w:val="00194381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FontStyle26" w:customStyle="1">
    <w:name w:val="Font Style26"/>
    <w:basedOn w:val="DefaultParagraphFont"/>
    <w:uiPriority w:val="99"/>
    <w:qFormat/>
    <w:rsid w:val="0019438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150439"/>
    <w:rPr/>
  </w:style>
  <w:style w:type="character" w:styleId="Style17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d723ee"/>
    <w:pPr>
      <w:ind w:hanging="0" w:left="720"/>
    </w:pPr>
    <w:rPr/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a77c8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rsid w:val="00a77c8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uiPriority w:val="99"/>
    <w:semiHidden/>
    <w:qFormat/>
    <w:rsid w:val="001b5b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1" w:customStyle="1">
    <w:name w:val="ConsPlusNormal"/>
    <w:link w:val="ConsPlusNormal"/>
    <w:uiPriority w:val="99"/>
    <w:qFormat/>
    <w:rsid w:val="00355e8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Знак Знак Знак Знак Знак Знак Знак Знак Знак Знак Знак Знак1 Знак Знак Знак Знак Знак Знак Знак"/>
    <w:basedOn w:val="Normal"/>
    <w:uiPriority w:val="99"/>
    <w:qFormat/>
    <w:rsid w:val="00d731e4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91" w:customStyle="1">
    <w:name w:val="Style9"/>
    <w:basedOn w:val="Normal"/>
    <w:uiPriority w:val="99"/>
    <w:qFormat/>
    <w:rsid w:val="00194381"/>
    <w:pPr>
      <w:widowControl w:val="false"/>
      <w:spacing w:lineRule="exact" w:line="318" w:before="0" w:after="0"/>
      <w:ind w:firstLine="70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194381"/>
    <w:pPr>
      <w:spacing w:lineRule="auto" w:line="240" w:before="0" w:after="255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61" w:customStyle="1">
    <w:name w:val="Style6"/>
    <w:basedOn w:val="Normal"/>
    <w:uiPriority w:val="99"/>
    <w:qFormat/>
    <w:rsid w:val="00194381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71" w:customStyle="1">
    <w:name w:val="Style7"/>
    <w:basedOn w:val="Normal"/>
    <w:uiPriority w:val="99"/>
    <w:qFormat/>
    <w:rsid w:val="00194381"/>
    <w:pPr>
      <w:widowControl w:val="false"/>
      <w:spacing w:lineRule="exact" w:line="319" w:before="0" w:after="0"/>
      <w:ind w:firstLine="710"/>
      <w:jc w:val="both"/>
    </w:pPr>
    <w:rPr>
      <w:rFonts w:ascii="Times New Roman" w:hAnsi="Times New Roman" w:eastAsia="Malgun Gothic" w:cs="Times New Roman"/>
      <w:sz w:val="24"/>
      <w:szCs w:val="24"/>
      <w:lang w:eastAsia="ru-RU"/>
    </w:rPr>
  </w:style>
  <w:style w:type="paragraph" w:styleId="P19" w:customStyle="1">
    <w:name w:val="p19"/>
    <w:basedOn w:val="Normal"/>
    <w:uiPriority w:val="99"/>
    <w:qFormat/>
    <w:rsid w:val="0019438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21" w:customStyle="1">
    <w:name w:val="Body text (2)"/>
    <w:basedOn w:val="Normal"/>
    <w:link w:val="Bodytext2"/>
    <w:uiPriority w:val="99"/>
    <w:qFormat/>
    <w:rsid w:val="00194381"/>
    <w:pPr>
      <w:widowControl w:val="false"/>
      <w:shd w:val="clear" w:color="auto" w:fill="FFFFFF"/>
      <w:spacing w:lineRule="exact" w:line="326" w:before="420" w:after="300"/>
      <w:jc w:val="both"/>
    </w:pPr>
    <w:rPr>
      <w:sz w:val="28"/>
      <w:szCs w:val="28"/>
      <w:shd w:fill="FFFFFF" w:val="clear"/>
      <w:lang w:eastAsia="ru-RU"/>
    </w:rPr>
  </w:style>
  <w:style w:type="paragraph" w:styleId="31" w:customStyle="1">
    <w:name w:val="Основной текст3"/>
    <w:basedOn w:val="Normal"/>
    <w:uiPriority w:val="99"/>
    <w:qFormat/>
    <w:rsid w:val="00194381"/>
    <w:pPr>
      <w:widowControl w:val="false"/>
      <w:shd w:val="clear" w:color="auto" w:fill="FFFFFF"/>
      <w:spacing w:lineRule="exact" w:line="322" w:before="0" w:after="0"/>
      <w:jc w:val="center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Style41" w:customStyle="1">
    <w:name w:val="Style4"/>
    <w:basedOn w:val="Normal"/>
    <w:uiPriority w:val="99"/>
    <w:qFormat/>
    <w:rsid w:val="00194381"/>
    <w:pPr>
      <w:spacing w:lineRule="exact" w:line="274" w:before="0" w:after="0"/>
      <w:ind w:firstLine="946"/>
      <w:jc w:val="both"/>
    </w:pPr>
    <w:rPr>
      <w:rFonts w:ascii="Times New Roman" w:hAnsi="Times New Roman" w:eastAsia="Times New Roman" w:cs="Times New Roman"/>
      <w:color w:val="00000A"/>
      <w:sz w:val="20"/>
      <w:szCs w:val="20"/>
      <w:lang w:eastAsia="ru-RU"/>
    </w:rPr>
  </w:style>
  <w:style w:type="paragraph" w:styleId="Style141" w:customStyle="1">
    <w:name w:val="Style14"/>
    <w:basedOn w:val="Normal"/>
    <w:uiPriority w:val="99"/>
    <w:qFormat/>
    <w:rsid w:val="00194381"/>
    <w:pPr>
      <w:widowControl w:val="false"/>
      <w:spacing w:lineRule="exact" w:line="483" w:before="0" w:after="0"/>
      <w:ind w:firstLine="68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a729f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27E0-D93D-4462-A5AE-BECDDEA3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Application>LibreOffice/7.6.7.2$Linux_X86_64 LibreOffice_project/60$Build-2</Application>
  <AppVersion>15.0000</AppVersion>
  <Pages>3</Pages>
  <Words>799</Words>
  <Characters>6135</Characters>
  <CharactersWithSpaces>6960</CharactersWithSpaces>
  <Paragraphs>48</Paragraphs>
  <Company>РОН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2021-06-15T13:53:00Z</dcterms:created>
  <dc:creator>Трачук Ольга Витальевна</dc:creator>
  <dc:description/>
  <dc:language>ru-RU</dc:language>
  <cp:lastModifiedBy/>
  <cp:lastPrinted>2026-03-05T11:04:14Z</cp:lastPrinted>
  <dcterms:modified xsi:type="dcterms:W3CDTF">2026-03-05T11:05:46Z</dcterms:modified>
  <cp:revision>333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