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jc w:val="center"/>
        <w:rPr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kern w:val="0"/>
          <w:sz w:val="26"/>
          <w:szCs w:val="26"/>
          <w:lang w:val="ru-RU" w:eastAsia="en-US" w:bidi="ar-SA"/>
        </w:rPr>
        <w:t xml:space="preserve">График реализации программы «Школа утилизации: электроника»                           в 1 полугодии 2026 г. 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tbl>
      <w:tblPr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3"/>
        <w:gridCol w:w="7089"/>
      </w:tblGrid>
      <w:tr>
        <w:trPr>
          <w:trHeight w:val="983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Период проведения</w:t>
            </w:r>
          </w:p>
        </w:tc>
        <w:tc>
          <w:tcPr>
            <w:tcW w:w="7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Муниципальные Районы Республики Татарстан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12-13 Марта</w:t>
            </w:r>
          </w:p>
        </w:tc>
        <w:tc>
          <w:tcPr>
            <w:tcW w:w="7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г. Казань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26-27 Марта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Новошешминский, Чистопольский, Алексеевский, Лаишевский районы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9-10 Апреля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Сабинский, Тюлячинский, Пестречинский районы, г. Казань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23-24 Апреля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Мензелинский, Тукаевский районы, г. Набережные Челны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6-7 Мая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Зеленодольский район, г. Казань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21-22 Мая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Кайбицкий, Буинский, Дрожжановский районы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4-5 Июня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Арский район, г. Казань</w:t>
            </w:r>
          </w:p>
        </w:tc>
      </w:tr>
      <w:tr>
        <w:trPr>
          <w:trHeight w:val="288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25-26 Июня</w:t>
            </w:r>
          </w:p>
        </w:tc>
        <w:tc>
          <w:tcPr>
            <w:tcW w:w="7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Ютазинский, Бавлинский, Лениногорский, Черемшанский районы</w:t>
            </w:r>
          </w:p>
        </w:tc>
      </w:tr>
    </w:tbl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Cs w:val="false"/>
          <w:kern w:val="0"/>
          <w:sz w:val="26"/>
          <w:szCs w:val="26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kern w:val="0"/>
          <w:sz w:val="26"/>
          <w:szCs w:val="26"/>
          <w:lang w:val="ru-RU" w:eastAsia="en-US" w:bidi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69</Words>
  <Characters>499</Characters>
  <CharactersWithSpaces>576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2026-02-16T11:15:19Z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