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spacing w:lineRule="auto" w:line="240" w:before="0" w:after="0"/>
        <w:ind w:right="-1"/>
        <w:contextualSpacing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ПОЯСНИТЕЛЬНАЯ ЗАПИСКА</w:t>
      </w:r>
    </w:p>
    <w:p>
      <w:pPr>
        <w:pStyle w:val="Normal"/>
        <w:spacing w:lineRule="auto" w:line="240" w:before="0" w:after="0"/>
        <w:contextualSpacing/>
        <w:jc w:val="center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 проекту постановления Кабинета Министров Республики Татарстан </w:t>
        <w:br/>
        <w:t>«Об утверждении Порядка согласования вероятного вреда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Республики Татарстан»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114" w:after="11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Проект постановления Кабинета Министров Республики Татарстан</w:t>
        <w:br/>
        <w:t>«Об утверждении Порядка согласования вероятного вреда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Республики Татарстан» (далее — проект) разработан в связи с изменениями, внесенными в федеральное законодательство.</w:t>
      </w:r>
    </w:p>
    <w:p>
      <w:pPr>
        <w:pStyle w:val="Normal"/>
        <w:spacing w:lineRule="auto" w:line="240" w:before="114" w:after="11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связи с изданием постановления Правительства РФ от 03.05.2024 № 566</w:t>
        <w:br/>
        <w:t xml:space="preserve">«О внесении изменений в некоторые акты Правительства Российской Федерации» (далее - постановление № 566) признано утратившим силу постановление Правительства РФ от 03.10.2020 № 1596 «Об утверждении Правил определения величины финансового обеспечения гражданской ответственности за вред, причиненный в результате аварии гидротехнического сооружения», которым  утверждались </w:t>
      </w:r>
      <w:r>
        <w:rPr>
          <w:rFonts w:ascii="Times New Roman" w:hAnsi="Times New Roman"/>
          <w:color w:val="000000"/>
          <w:sz w:val="28"/>
          <w:szCs w:val="28"/>
        </w:rPr>
        <w:t xml:space="preserve">Правила </w:t>
      </w:r>
      <w:r>
        <w:rPr>
          <w:rFonts w:ascii="Times New Roman" w:hAnsi="Times New Roman"/>
          <w:sz w:val="28"/>
          <w:szCs w:val="28"/>
        </w:rPr>
        <w:t xml:space="preserve">определения величины финансового обеспечения гражданской ответственности за вред, причиненный в результате аварии гидротехнического сооружения. </w:t>
      </w:r>
    </w:p>
    <w:p>
      <w:pPr>
        <w:pStyle w:val="Normal"/>
        <w:spacing w:lineRule="auto" w:line="240" w:before="114" w:after="11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 xml:space="preserve">Кроме того, признаны утратившими силу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приказ МЧС РФ № 528, Минтранса РФ № 143 от 02.10.2007 «</w:t>
      </w:r>
      <w:r>
        <w:rPr>
          <w:rFonts w:ascii="Times New Roman" w:hAnsi="Times New Roman"/>
          <w:sz w:val="28"/>
          <w:szCs w:val="28"/>
        </w:rPr>
        <w:t xml:space="preserve">Об утверждении Методики определения размера вреда, который может быть причинен жизни, здоровью физических лиц, имуществу физических и юридических лиц в результате аварии судоходных гидротехнических сооружений» и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приказ Ростехнадзора от 10.12.2020 № 516 </w:t>
        <w:br/>
        <w:t>«</w:t>
      </w:r>
      <w:r>
        <w:rPr>
          <w:rFonts w:ascii="Times New Roman" w:hAnsi="Times New Roman"/>
          <w:sz w:val="28"/>
          <w:szCs w:val="28"/>
        </w:rPr>
        <w:t>Об утверждении Методики определения размера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(за исключением судоходных и портовых гидротехнических сооружений)».</w:t>
      </w:r>
    </w:p>
    <w:p>
      <w:pPr>
        <w:pStyle w:val="Normal"/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ab/>
        <w:t xml:space="preserve">В связи с этим, возникла необходимость признать утратившими силу Правила определения величины финансового обеспечения гражданской ответственности за вред, причиненный в результате аварии гидротехнического сооружения, утвержденные постановлением Кабинета Министров Республики Татарстан от 08.06.2021 № 440, содержание которых было построено на положениях вышеуказанных правовых актов, а также разработать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Порядок согласования вероятного вреда, соответствующий положениям действующих правовых актов федерального уровня.</w:t>
      </w:r>
    </w:p>
    <w:p>
      <w:pPr>
        <w:pStyle w:val="Normal"/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 xml:space="preserve">Проект разработан с учетом норм постановления Правительства РФ от 03.05.2024 № 566 «О внесении изменений в некоторые акты Правительства Российской Федерации», а также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Методики определения размера вреда, который может быть причинен жизни, здоровью физических лиц, имуществу физических и юридических лиц в результате аварии судоходных гидротехнических сооружений, утвержденной приказом Министерства транспорта Российской Федерации от 25 апреля 2022 г. № 153, и Методики определения оцененного в рублях размера максимального вреда, который может быть причинен жизни, здоровью физических лиц, окружающей среде, имуществу физических и юридических лиц при аварии гидротехнического сооружения (за исключением судоходных и портовых гидротехнических сооружений), утвержденной приказом Федеральной службы по экологическому, технологическому и атомному надзору от 15 ноября 2024 г. № 347 (далее - Методики), затрагивающих вопросы правового регулирования разных видов гидротехнических сооружений. </w:t>
      </w:r>
    </w:p>
    <w:p>
      <w:pPr>
        <w:pStyle w:val="Normal"/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ab/>
        <w:t xml:space="preserve">Аналогичный подход к регулированию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Порядков согласования вероятного вреда на основании Методик нашел отражение в правовых актах других субъектов Российской Федерации (Хабаровский край, Вологодская область, Краснодарский край, Нижегородская область, Ульяновская область, Карачаево-Черкесская Республика).</w:t>
      </w:r>
    </w:p>
    <w:p>
      <w:pPr>
        <w:pStyle w:val="Normal"/>
        <w:spacing w:lineRule="auto" w:line="240" w:before="114" w:after="11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 xml:space="preserve">Принятие постановления Кабинета Министров Республики Татарстан не потребует финансирования из бюджета Республики Татарстан. </w:t>
      </w:r>
    </w:p>
    <w:p>
      <w:pPr>
        <w:pStyle w:val="Normal"/>
        <w:spacing w:lineRule="auto" w:line="240" w:before="114" w:after="114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</w:t>
      </w:r>
      <w:r>
        <w:rPr>
          <w:rFonts w:cs="Times New Roman" w:ascii="Times New Roman" w:hAnsi="Times New Roman"/>
          <w:color w:val="000000"/>
          <w:sz w:val="28"/>
          <w:szCs w:val="28"/>
        </w:rPr>
        <w:t>(</w:t>
      </w:r>
      <w:hyperlink r:id="rId2">
        <w:bookmarkStart w:id="1" w:name="wwwlink_Копия_1"/>
        <w:bookmarkEnd w:id="1"/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</w:rPr>
          <w:t>http://tatarstan.ru/regulation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>).</w:t>
      </w:r>
      <w:r>
        <w:rPr>
          <w:rFonts w:cs="Times New Roman" w:ascii="Times New Roman" w:hAnsi="Times New Roman"/>
          <w:sz w:val="28"/>
          <w:szCs w:val="28"/>
        </w:rPr>
        <w:t xml:space="preserve"> Заключений по результатам проведения независимой антикоррупционной экспертизы не поступило.</w:t>
      </w:r>
    </w:p>
    <w:p>
      <w:pPr>
        <w:pStyle w:val="Normal"/>
        <w:spacing w:lineRule="auto" w:line="240" w:before="114" w:after="1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114" w:after="1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114" w:after="1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114" w:after="1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114" w:after="1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114" w:after="1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114" w:after="1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902" w:gutter="0" w:header="0" w:top="720" w:footer="0" w:bottom="104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 CYR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a93e6a"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Гипертекстовая ссылка"/>
    <w:basedOn w:val="DefaultParagraphFont"/>
    <w:uiPriority w:val="99"/>
    <w:qFormat/>
    <w:rsid w:val="00a04022"/>
    <w:rPr>
      <w:rFonts w:cs="Times New Roman"/>
      <w:b w:val="false"/>
      <w:color w:val="106BBE"/>
    </w:rPr>
  </w:style>
  <w:style w:type="character" w:styleId="1" w:customStyle="1">
    <w:name w:val="Заголовок 1 Знак"/>
    <w:basedOn w:val="DefaultParagraphFont"/>
    <w:uiPriority w:val="9"/>
    <w:qFormat/>
    <w:rsid w:val="00a93e6a"/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65670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 w:customStyle="1">
    <w:name w:val="Комментарий"/>
    <w:basedOn w:val="Normal"/>
    <w:next w:val="Normal"/>
    <w:uiPriority w:val="99"/>
    <w:qFormat/>
    <w:rsid w:val="00a93e6a"/>
    <w:pPr>
      <w:widowControl w:val="false"/>
      <w:spacing w:lineRule="auto" w:line="240" w:before="75" w:after="0"/>
      <w:ind w:left="170"/>
      <w:jc w:val="both"/>
    </w:pPr>
    <w:rPr>
      <w:rFonts w:ascii="Times New Roman CYR" w:hAnsi="Times New Roman CYR" w:eastAsia="" w:cs="Times New Roman CYR" w:eastAsiaTheme="minorEastAsia"/>
      <w:color w:val="353842"/>
      <w:sz w:val="24"/>
      <w:szCs w:val="24"/>
      <w:lang w:eastAsia="ru-RU"/>
    </w:rPr>
  </w:style>
  <w:style w:type="paragraph" w:styleId="Style18" w:customStyle="1">
    <w:name w:val="Информация о версии"/>
    <w:basedOn w:val="Style17"/>
    <w:next w:val="Normal"/>
    <w:uiPriority w:val="99"/>
    <w:qFormat/>
    <w:rsid w:val="00a93e6a"/>
    <w:pPr/>
    <w:rPr>
      <w:i/>
      <w:iCs/>
    </w:rPr>
  </w:style>
  <w:style w:type="paragraph" w:styleId="Default" w:customStyle="1">
    <w:name w:val="Default"/>
    <w:qFormat/>
    <w:rsid w:val="00c079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6567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ru-RU" w:eastAsia="zh-CN" w:bidi="ar-SA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9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tatarstan.ru/regulation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LibreOffice/7.6.7.2$Linux_X86_64 LibreOffice_project/60$Build-2</Application>
  <AppVersion>15.0000</AppVersion>
  <Pages>2</Pages>
  <Words>512</Words>
  <Characters>3860</Characters>
  <CharactersWithSpaces>4377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2025-07-25T07:47:00Z</dcterms:created>
  <dc:creator>316-User4</dc:creator>
  <dc:description/>
  <dc:language>ru-RU</dc:language>
  <cp:lastModifiedBy>315-User1</cp:lastModifiedBy>
  <cp:lastPrinted>2023-05-18T10:18:00Z</cp:lastPrinted>
  <dcterms:modified xsi:type="dcterms:W3CDTF">2025-07-25T07:47:00Z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