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7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5070"/>
      </w:tblGrid>
      <w:tr>
        <w:trPr>
          <w:trHeight w:val="450" w:hRule="atLeast"/>
        </w:trPr>
        <w:tc>
          <w:tcPr>
            <w:tcW w:w="5070" w:type="dxa"/>
            <w:tcBorders/>
          </w:tcPr>
          <w:p>
            <w:pPr>
              <w:pStyle w:val="NormalWeb"/>
              <w:widowControl w:val="false"/>
              <w:spacing w:lineRule="atLeast" w:line="288" w:beforeAutospacing="0" w:before="0" w:afterAutospacing="0" w:after="0"/>
              <w:ind w:firstLine="54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Web"/>
              <w:widowControl w:val="false"/>
              <w:spacing w:lineRule="atLeast" w:line="288" w:beforeAutospacing="0" w:before="0" w:afterAutospacing="0" w:after="0"/>
              <w:ind w:firstLine="54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Web"/>
              <w:widowControl w:val="false"/>
              <w:spacing w:lineRule="atLeast" w:line="288" w:beforeAutospacing="0" w:before="0" w:afterAutospacing="0" w:after="0"/>
              <w:ind w:firstLine="54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Web"/>
              <w:widowControl w:val="false"/>
              <w:spacing w:lineRule="atLeast" w:line="288" w:beforeAutospacing="0" w:before="0" w:afterAutospacing="0" w:after="0"/>
              <w:ind w:firstLine="54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Web"/>
              <w:widowControl w:val="false"/>
              <w:spacing w:lineRule="atLeast" w:line="288" w:beforeAutospacing="0" w:before="0" w:afterAutospacing="0" w:after="0"/>
              <w:ind w:firstLine="540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Web"/>
              <w:widowControl w:val="false"/>
              <w:spacing w:lineRule="atLeast" w:line="288" w:beforeAutospacing="0" w:before="0" w:afterAutospacing="0" w:after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</w:t>
            </w:r>
          </w:p>
        </w:tc>
      </w:tr>
    </w:tbl>
    <w:p>
      <w:pPr>
        <w:pStyle w:val="ConsPlusTitle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со статьей 5 </w:t>
      </w:r>
      <w:r>
        <w:rPr>
          <w:rFonts w:cs="Times New Roman" w:ascii="Times New Roman" w:hAnsi="Times New Roman"/>
          <w:sz w:val="28"/>
          <w:szCs w:val="28"/>
        </w:rPr>
        <w:t xml:space="preserve">Федерального </w:t>
      </w:r>
      <w:hyperlink r:id="rId2">
        <w:r>
          <w:rPr>
            <w:rStyle w:val="ListLabel1"/>
            <w:rFonts w:cs="Times New Roman" w:ascii="Times New Roman" w:hAnsi="Times New Roman"/>
            <w:sz w:val="28"/>
            <w:szCs w:val="28"/>
          </w:rPr>
          <w:t>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21 июля 1997 года</w:t>
        <w:br/>
        <w:t>№ 117-ФЗ «О безопасности гидротехнических сооружений» Кабинет Министров Республики Татарстан ПОСТАНОВЛЯЕТ: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Утвердить прилага</w:t>
      </w:r>
      <w:bookmarkStart w:id="0" w:name="_GoBack_Копия_1"/>
      <w:bookmarkEnd w:id="0"/>
      <w:r>
        <w:rPr>
          <w:rFonts w:cs="Times New Roman" w:ascii="Times New Roman" w:hAnsi="Times New Roman"/>
          <w:sz w:val="28"/>
          <w:szCs w:val="28"/>
        </w:rPr>
        <w:t xml:space="preserve">емый </w:t>
      </w:r>
      <w:hyperlink w:anchor="P35">
        <w:r>
          <w:rPr>
            <w:rStyle w:val="ListLabel1"/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 Признать утратившим силу постановление Кабинета Министров Республики Татарстан от 08.06.2021 № 440 «Об утверждении Порядка согласования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территории Республики Татарстан». </w:t>
      </w:r>
    </w:p>
    <w:p>
      <w:pPr>
        <w:pStyle w:val="ConsPlusNormal"/>
        <w:ind w:firstLine="709"/>
        <w:jc w:val="both"/>
        <w:rPr>
          <w:highlight w:val="none"/>
          <w:shd w:fill="E0C2CD" w:val="clear"/>
        </w:rPr>
      </w:pPr>
      <w:r>
        <w:rPr>
          <w:shd w:fill="E0C2CD" w:val="clear"/>
        </w:rPr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  <w:tab/>
        <w:tab/>
        <w:tab/>
        <w:tab/>
        <w:tab/>
        <w:tab/>
        <w:tab/>
        <w:tab/>
        <w:tab/>
        <w:t xml:space="preserve"> А.В.Песошин</w:t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73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ConsPlusNormal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</w:t>
      </w:r>
    </w:p>
    <w:p>
      <w:pPr>
        <w:pStyle w:val="ConsPlusNormal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Кабинета Министров</w:t>
      </w:r>
    </w:p>
    <w:p>
      <w:pPr>
        <w:pStyle w:val="ConsPlusNormal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ConsPlusNormal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_____2025 № 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bookmarkStart w:id="1" w:name="P35"/>
      <w:bookmarkEnd w:id="1"/>
      <w:r>
        <w:rPr>
          <w:rFonts w:cs="Times New Roman" w:ascii="Times New Roman" w:hAnsi="Times New Roman"/>
          <w:b w:val="false"/>
          <w:sz w:val="28"/>
          <w:szCs w:val="28"/>
        </w:rPr>
        <w:t>Порядок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Настоящий Порядок разработан в соответствии со статьей 5 Федерального </w:t>
      </w:r>
      <w:hyperlink r:id="rId3">
        <w:r>
          <w:rPr>
            <w:rStyle w:val="ListLabel1"/>
            <w:rFonts w:cs="Times New Roman" w:ascii="Times New Roman" w:hAnsi="Times New Roman"/>
            <w:sz w:val="28"/>
            <w:szCs w:val="28"/>
          </w:rPr>
          <w:t>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21 июля 1997 года № 117-ФЗ «О безопасности гидротехнических сооружений» и регламентирует процедуру согласования расчета вероятного вреда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 (далее – расчет вероятного вреда).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cs="Times New Roman" w:ascii="Times New Roman" w:hAnsi="Times New Roman"/>
          <w:sz w:val="28"/>
          <w:szCs w:val="28"/>
        </w:rPr>
        <w:t>2. Для согласования расчета вероятного вреда собственник или эксплуатирующая организация гидротехнического сооружения представляет в Министерство экологии и природных ресурсов Республики Татарстан (далее – Министерство) пакет документов, который включает: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случае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за исключением судоходных: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согласовании расчета вероятного вреда, подписанное собственником или эксплуатирующей организацией гидротехнического сооружения, в произвольной форме на бумажном носителе;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вероятного вреда, выполненный в соответствии с Методикой 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сооружений), утвержденной приказом Федеральной службы по экологическому, технологическому и атомному надзору от 15 ноября 2024 г. № 347 «Об утверждении Методики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сооружений)» (далее – Методики), на бумажном носителе в двух экземплярах;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вероятного вреда на электронном носителе.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Собственник или эксплуатирующая организация вправе представить документы, указанные в абзацах втором и четвертом настоящего подпункта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В случае расчета вероятного вреда, который может быть причинен жизни, здоровью физических лиц, имуществу физических и юридических лиц в результате аварии судоходных гидротехнических сооружений: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согласовании расчета вероятного вреда, подписанное собственником или эксплуатирующей организацией гидротехнического сооружения, в произвольной форме на бумажном носителе;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вероятного вреда, выполненный в соответствии с Методикой определения размера вреда, который может быть причинен жизни, здоровью физических лиц, имуществу физических и юридических лиц в результате аварии судоходных гидротехнических сооружений, утвержденной приказом Министерства транспорта Российской Федерации от 25 апреля 2022 г. № 153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судоходных гидротехнических сооружений», на бумажном носителе в пяти экземплярах;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вероятного вреда на электронном носителе.</w:t>
      </w:r>
    </w:p>
    <w:p>
      <w:pPr>
        <w:pStyle w:val="ConsPlusNormal"/>
        <w:widowControl/>
        <w:ind w:firstLine="709"/>
        <w:jc w:val="both"/>
        <w:rPr>
          <w:shd w:fill="DDE8CB" w:val="clear"/>
        </w:rPr>
      </w:pPr>
      <w:r>
        <w:rPr>
          <w:rFonts w:cs="Times New Roman" w:ascii="Times New Roman" w:hAnsi="Times New Roman"/>
          <w:sz w:val="28"/>
          <w:szCs w:val="28"/>
        </w:rPr>
        <w:t>Собственник или эксплуатирующая организация вправе представить документы, указанные в абзацах втором и четвертом настоящего подпункта в форме электронных документов с использованием федеральной государственной информационной системы «Единый портал государственных и муниципальных</w:t>
      </w:r>
      <w:r>
        <w:rPr>
          <w:rFonts w:cs="Times New Roman" w:ascii="Times New Roman" w:hAnsi="Times New Roman"/>
          <w:sz w:val="28"/>
          <w:szCs w:val="28"/>
          <w:shd w:fill="DDE8CB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услуг (функций)».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Расчет вероятного вреда, который может быть причинен жизни, здоровью физических лиц, имуществу физических и юридических лиц в результате аварии   гидротехнических сооружений должен содержать: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 в отношении гидротехнических сооружений, за исключением судоходных: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собственника или эксплуатирующей организации</w:t>
      </w:r>
      <w:bookmarkStart w:id="3" w:name="_GoBack"/>
      <w:bookmarkEnd w:id="3"/>
      <w:r>
        <w:rPr>
          <w:rFonts w:cs="Times New Roman" w:ascii="Times New Roman" w:hAnsi="Times New Roman"/>
          <w:sz w:val="28"/>
          <w:szCs w:val="28"/>
        </w:rPr>
        <w:t xml:space="preserve"> гидротехнического сооружения (для физического лица, в том числе индивидуального предпринимателя, - фамилия, имя, отчество (последнее - при наличии); для юридического лица - полное и (или) сокращенное (при наличии) наименование юридического лица);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дату составления и дату согласования исполнительными органами субъектов Российской Федерации в области безопасности гидротехнических сооружений расчета размера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соответствующего субъекта Российской Федерации (в том числе дату и номер (при наличии) письма о согласовании);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основание для проведения расчета;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(полное и (или) сокращенное (при наличии) наименование, адрес в пределах места нахождения, индивидуальный номер налогоплательщика, основной государственный регистрационный номер) о юридическом лице, привлеченном владельцем гидротехнического сооружения к расчету;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используемых нормативных правовых документов и методических рекомендаций, обоснование их использования;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использованных исходных данных с указанием источников их получения, принятые допущения, порядок расчета;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описание и обоснование принятых к расчету сценариев аварии гидротехнического сооружения;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оценки вероятного числа погибших и пострадавших при аварии гидротехнического сооружения людей среди работников гидротехнического сооружения, населения постоянного проживания и граждан временного нахождения;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расчет размера социального ущерба от аварии гидротехнического сооружения в денежном выражении;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расчет размера основных составляющих имущественного ущерба от аварии гидротехнического сооружения в денежном выражении;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расчет размера ущерба природной среде от аварии гидротехнического сооружения  в денежном выражении;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расчет размера общего ущерба от аварии гидротехнического сооружения в  денежном выражении;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расчет размера вероятного вреда от аварии гидротехнического сооружения в  денежном выражении.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расчету вероятного вреда прилагаются в том числе: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 гидротехнического сооружения в соответствии с проектной  документацией;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планы зон аварийного воздействия при наиболее тяжелой аварии гидротехнического сооружения и наиболее вероятной аварии гидротехнического сооружения;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расчетов параметров зон аварийного воздействия при наиболее тяжелой аварии гидротехнического сооружения и наиболее вероятной аварии  гидротехнического сооружения.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 в отношении судоходных гидротехнических сооружений: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собственника или эксплуатирующей организации гидротехнического сооружения, его реквизиты;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дату составления;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для проведения расчета;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 реквизиты организаций, привлеченных </w:t>
      </w:r>
      <w:r>
        <w:rPr>
          <w:rFonts w:cs="Times New Roman" w:ascii="Times New Roman" w:hAnsi="Times New Roman"/>
          <w:sz w:val="28"/>
          <w:szCs w:val="28"/>
        </w:rPr>
        <w:t>собственником или эксплуатирующей организацией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 к расчету;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исполнителей расчета;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 и чертежи, определяющие основные особенности его конструкции;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природных факторов, существенных для назначения сценариев возможной аварии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  (гидрологических, сейсмических, опасность карста, селей, оползней);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объектов, расположенных в бьефах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 и существенно влияющих на ход возможной гидродинамической аварии или величину вреда от нее;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 судоходстве в зоне возможного негативного воздействия аварии, включая количество и типы судов, численность экипажей и пассажиров, количество шлюзований за навигацию, грузы и их количество;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принятых к расчету сценариев аварий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, соответствующих принятым в декларации безопасности;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гидравлического моделирования хода аварии с описанием используемого метода, позволяющие оценить соответствие этого метода задаче моделирования;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указания на используемые нормативные документы и методические рекомендации, обоснование их использования;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использованных исходных данных с указанием источников их получения;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принятые допущения;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расчета;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и обоснование принятых к расчету сценариев аварий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вероятного числа погибших и пострадавших при аварии </w:t>
      </w:r>
      <w:r>
        <w:rPr>
          <w:rFonts w:cs="Times New Roman" w:ascii="Times New Roman" w:hAnsi="Times New Roman"/>
          <w:sz w:val="28"/>
          <w:szCs w:val="28"/>
        </w:rPr>
        <w:t xml:space="preserve">судоходного гидротехнического сооружения </w:t>
      </w:r>
      <w:r>
        <w:rPr>
          <w:rFonts w:ascii="Times New Roman" w:hAnsi="Times New Roman"/>
          <w:sz w:val="28"/>
          <w:szCs w:val="28"/>
        </w:rPr>
        <w:t xml:space="preserve">людей среди персонала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, населения постоянного проживания и населения временного нахождения;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размера вреда, который может быть причинен жизни, здоровью физических лиц, от аварии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  в денежном выражении;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размера основных составляющих имущественного вреда от аварии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 в денежном выражении;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размера вреда природной среде от аварии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  в денежном выражении;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размера общего вреда от аварии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  в денежном выражении;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размера вероятного вреда в денежном выражении.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расчету вероятного вреда прилагаются в том числе: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планы зон аварийного воздействия при наиболее тяжелой и наиболее вероятной авариях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расчетов параметров зон аварийного воздействия при наиболее тяжелой и наиболее вероятной авариях </w:t>
      </w:r>
      <w:r>
        <w:rPr>
          <w:rFonts w:cs="Times New Roman" w:ascii="Times New Roman" w:hAnsi="Times New Roman"/>
          <w:sz w:val="28"/>
          <w:szCs w:val="28"/>
        </w:rPr>
        <w:t>судоходного гидротехнического сооружения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сведения, которые использовались при расчете размера вероятного вреда. 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Общий срок рассмотрения и согласования расчета вероятного вреда при соответствии его Методикам в части правильности определения величин составляющих вероятного вреда, с учетом возврата его собственнику или эксплуатирующей организации гидротехнического сооружения без согласования с указанием конкретных несоответствий расчета вероятного вреда Методикам, составляет 20 рабочих дней.</w:t>
      </w:r>
    </w:p>
    <w:p>
      <w:pPr>
        <w:pStyle w:val="ConsPlusNormal"/>
        <w:widowControl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Министерство в течение пяти рабочих дней со дня поступления документов, указанных в пункте 2 настоящего Порядка, рассматривает и принимает решение об их комплектности и соответствии содержания расчета вероятного вреда пункту 3 настоящего Порядка либо о возврате указанных документов в случаях: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непредставления или представления не в полном объеме в Министерство документов, указанных в пункте 2 настоящего Порядка;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отсутствия сведений, указанных в пункте 3 настоящего Порядка.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Министерство в течение трех рабочих дней со дня принятия решения о комплектности документов, указанных в пункте 2 настоящего Порядка, и соответствии содержания расчета вероятного вреда пункте 3 настоящего Порядка проверяет правильность расчета ущерба природной среде и расходов на ликвидацию последствий аварии в соответствии с Методиками и направляет расчет вероятного вреда в форме электронного документа с использованием единой межведомственной системы электронного документооборота Республики Татарстан в республиканские органы исполнительной власти для его рассмотрения на соответствие Методикам по видам ущерба согласно отраслевой принадлежности: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строительства, архитектуры и жилищно-коммунального хозяйства Республики Татарстан – для рассмотрения и проверки расчета ущерба жилому фонду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имуществу граждан, ущерба, вызванного нарушением водоснабжения;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транспорта и дорожного хозяйства Республики Татарстан – для рассмотрения и проверки расчета ущерба элементам транспорта, ущерба объектам водного транспорта;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цифрового развития государственного управления, информационных технологий и связи Республики Татарстан – для рассмотрения и проверки расчета ущерба элементам связи;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лесного хозяйства Республики Татарстан – для рассмотрения и проверки расчета ущерба лесному фонду от потери леса как сырья, а также от затопления и гибели лесов;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Министерство промышленности и торговли Республики Татарстан – для перенаправления заинтересованным организациям, курируемым Министерством промышленности и торговли Республики Татарстан, в целях получения от заинтересованных организаций согласования расчетов ущерба основным и оборотным фондам заинтересованных организаций и ущерба готовой продукции заинтересованных организаций Министерством промышленности и торговли Республики Татарстан с учетом срока, предусмотренного пунктом 8 настоящего Порядка; 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сельского хозяйства и продовольствия Республики Татарстан – для рассмотрения и проверки расчета ущерба сельскохозяйственному производству;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по делам гражданской обороны и чрезвычайным ситуациям Республики Татарстан – для рассмотрения и проверки расчета социального ущерба;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Государственный комитет Республики Татарстан по биологическим ресурсам – для рассмотрения и проверки расчета ущерба рыбному хозяйству.</w:t>
      </w:r>
    </w:p>
    <w:p>
      <w:pPr>
        <w:pStyle w:val="ConsPlusNormal"/>
        <w:widowControl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Республиканские органы исполнительной власти, указанные в пункте 7 настоящего Порядка, в течение 10 рабочих дней с момента поступления расчета вероятного вреда направляют в Министерство с использованием единой межведомственной системы электронного документооборота Республики Татарстан заключения о возможности согласования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величин составляющих вероятный вред или об отказе в их согласовании с указанием причин отказа (далее – заключение).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Министерство в двухдневный срок, исчисляемый в рабочих днях, со дня получения заключений, указанных в пункте 8 настоящего Порядка: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обобщает представленные республиканскими органами исполнительной власти заключения;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принимает решение о согласовании или об отказе в согласовании расчета вероятного вреда в случае, предусмотренном пунктом 11 настоящего Порядка. </w:t>
      </w:r>
    </w:p>
    <w:p>
      <w:pPr>
        <w:pStyle w:val="ConsPlusNormal"/>
        <w:widowControl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В случае принятия решения о согласовании расчета вероятного вреда на всех экземплярах титульного листа расчета вероятного вреда должностным лицом Министерства ставится отметка о согласовании «Согласовано», дата согласования и заверяется гербовой печатью.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об отказе в согласовании расчета вероятного вреда оформляется письмом Министерства с указанием причин отказа, которое подписывается заместителем министра, курирующим вопросы недропользования, и направляется владельцу гидротехнического сооружения с учетом срока, предусмотренного пунктом 5 настоящего Порядка.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Основанием для отказа в согласовании расчета вероятного вреда является наличие заключений об отказе в согласовании величин составляющих вероятного вреда одного или нескольких республиканских органов исполнительной власти, указанных в пункте 7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567234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7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b2b5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b2b55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e1630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b2b5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7b2b5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19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b2b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7b2b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e16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20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DF7FD24B5C3F1F2372B6C31F1DAB925E4B557CCC7FECFB5CB24F033132FFF972B468AA4C9A89D849C137E71E7M0eBH" TargetMode="External"/><Relationship Id="rId3" Type="http://schemas.openxmlformats.org/officeDocument/2006/relationships/hyperlink" Target="consultantplus://offline/ref=BDF7FD24B5C3F1F2372B6C31F1DAB925E4B557CCC7FECFB5CB24F033132FFF972B468AA4C9A89D849C137E71E7M0eBH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LibreOffice/7.6.7.2$Linux_X86_64 LibreOffice_project/60$Build-2</Application>
  <AppVersion>15.0000</AppVersion>
  <Pages>7</Pages>
  <Words>1864</Words>
  <Characters>14103</Characters>
  <CharactersWithSpaces>15949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2025-07-22T12:02:00Z</dcterms:created>
  <dc:creator>Поповнина</dc:creator>
  <dc:description/>
  <dc:language>ru-RU</dc:language>
  <cp:lastModifiedBy/>
  <cp:lastPrinted>2025-01-27T10:30:00Z</cp:lastPrinted>
  <dcterms:modified xsi:type="dcterms:W3CDTF">2025-07-28T15:16:12Z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