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УВЕДОМЛЕНИЕ О ПОДГОТОВКЕ АКТА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396" w:leader="none"/>
        </w:tabs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1. Вид нормативного правового акта: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постановление Кабинета Министров Республики Татарстан </w:t>
      </w:r>
    </w:p>
    <w:p>
      <w:pPr>
        <w:pStyle w:val="Normal"/>
        <w:tabs>
          <w:tab w:val="clear" w:pos="708"/>
          <w:tab w:val="left" w:pos="1425" w:leader="none"/>
        </w:tabs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2. Наименование нормативного правового акта: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Татарстан»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3. Планируемый срок вступления в силу нормативного правого акта: </w:t>
      </w:r>
    </w:p>
    <w:p>
      <w:pPr>
        <w:pStyle w:val="Normal"/>
        <w:tabs>
          <w:tab w:val="clear" w:pos="708"/>
          <w:tab w:val="left" w:pos="1420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момента его официального опубликования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4. Сведения о разработчике проекта нормативного правового акта: </w:t>
      </w:r>
    </w:p>
    <w:p>
      <w:pPr>
        <w:pStyle w:val="Normal"/>
        <w:tabs>
          <w:tab w:val="clear" w:pos="708"/>
          <w:tab w:val="left" w:pos="1439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Министерство экологии и природных ресурсов Республики Татарстан</w:t>
      </w:r>
    </w:p>
    <w:p>
      <w:pPr>
        <w:pStyle w:val="Normal"/>
        <w:tabs>
          <w:tab w:val="clear" w:pos="708"/>
          <w:tab w:val="left" w:pos="1421" w:leader="none"/>
        </w:tabs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5. Обоснование необходимости подготовки проекта нормативного правового акта: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Необходимость возникла в результате признания утратившими силу основных нормативных правовых актов в области согласования вероятного вреда, а именно: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>постановления Правительства РФ от 03.10.2020 № 1596 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сооружения»;</w:t>
      </w:r>
    </w:p>
    <w:p>
      <w:pPr>
        <w:pStyle w:val="BodyText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>приказа МЧС РФ № 528, Минтранса РФ № 143 от 02.10.2007 «</w:t>
      </w:r>
      <w:r>
        <w:rPr>
          <w:rFonts w:ascii="Times New Roman" w:hAnsi="Times New Roman"/>
          <w:sz w:val="28"/>
          <w:szCs w:val="28"/>
        </w:rPr>
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сооружений»;</w:t>
      </w:r>
    </w:p>
    <w:p>
      <w:pPr>
        <w:pStyle w:val="BodyText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>приказа Ростехнадзора от 10.12.2020 № 516 «</w:t>
      </w:r>
      <w:r>
        <w:rPr>
          <w:rFonts w:ascii="Times New Roman" w:hAnsi="Times New Roman"/>
          <w:sz w:val="28"/>
          <w:szCs w:val="28"/>
        </w:rPr>
        <w:t>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сооружений)».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>В связи с этим, возникла необходимость: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ab/>
        <w:t>признать утратившими силу Правила определения величины финансового обеспечения гражданской ответственности за вред, причиненный в результате аварии гидротехнического сооружения, утвержденные постановлением Кабинета Министров Республики Татарстан от 08.06.2021 № 440, содержание которых было построено на положениях вышеуказанных правовых актов;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разработать Порядок согласования вероятного вреда, соответствующий постановлению Правительства РФ от 03.05.2024 № 566 «О внесении изменений в некоторые акты Правительства Российской Федерации», а также Методики № 153 и Методики № 347</w:t>
      </w:r>
    </w:p>
    <w:p>
      <w:pPr>
        <w:pStyle w:val="Normal"/>
        <w:tabs>
          <w:tab w:val="clear" w:pos="708"/>
          <w:tab w:val="left" w:pos="1416" w:leader="none"/>
        </w:tabs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6. Описание проблемы, на решение которой направлен предлагаемый способ регулирования: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со статьями 9, 15 Федерального закона от 21 июля 1997 года № 117-ФЗ «О безопасности гидротехнических сооружений» собственник ГТС и (или) эксплуатирующая организация обязаны, в том числе заключать договор обязательного страхования гражданской ответственности владельца опасного объекта за причинение вреда в результате аварии на нем. Отношения,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регулируются Федеральным законом от 27 июля 2010 года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объекте». Статьей 6 указанного закона предусмотрены размеры страховых выплат исходя из максимально возможного количества потерпевших, жизни или здоровью которых может быть причинен вред в результате аварии на опасном объекте, а также исходя из размера возмещения вреда, причиненного в связи с нарушением условий жизнедеятельности каждого потерпевшего.</w:t>
      </w:r>
    </w:p>
    <w:p>
      <w:pPr>
        <w:pStyle w:val="Normal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отсутствии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 заключить договор обязательного страхования гражданской ответственности собственнику ГТС не представляется возможным.</w:t>
      </w:r>
      <w:r>
        <w:rPr>
          <w:sz w:val="28"/>
          <w:szCs w:val="28"/>
        </w:rPr>
        <w:tab/>
      </w:r>
    </w:p>
    <w:p>
      <w:pPr>
        <w:pStyle w:val="Normal"/>
        <w:tabs>
          <w:tab w:val="clear" w:pos="708"/>
          <w:tab w:val="left" w:pos="1411" w:leader="none"/>
        </w:tabs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7. Круг лиц, на которых будет распространено действие проекта нормативного правового акта:</w:t>
      </w:r>
    </w:p>
    <w:p>
      <w:pPr>
        <w:pStyle w:val="Normal"/>
        <w:widowControl w:val="false"/>
        <w:spacing w:lineRule="auto" w:line="240" w:before="0" w:after="159"/>
        <w:contextualSpacing/>
        <w:jc w:val="both"/>
        <w:rPr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собственники ГТС или эксплуатирующие организации - Российская Федерация, субъект Российской Федерации, муниципальное образование, физическое лицо или юридическое лицо независимо от его организационно-правовой формы, имеющие права владения, пользования и распоряжения гидротехническим сооружением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8. Необходимость установления переходного периода: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Не требуется</w:t>
      </w:r>
    </w:p>
    <w:p>
      <w:pPr>
        <w:pStyle w:val="Normal"/>
        <w:spacing w:lineRule="auto" w:line="240" w:before="0" w:after="0"/>
        <w:ind w:firstLine="567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9. Краткое изложение цели регулирования: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Проект направлен на установление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Татарстан, с целью дальнейшего заключения собственником и (или) эксплуатирующей организацией договора обязательного страхования гражданской ответственности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10. Общая характеристика соответствующих общественных отношений:  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Принятие проекта постановления необходимо в целях соблюдения требования статьи 5 Федерального закона от 21 июля 1997 года №  117-ФЗ «О безопасности гидротехнических сооружений», согласно которой порядок согласования вероятного вред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соответствующего субъекта Российской Федерации, подлежит утверждению нормативным правовым актом субъекта Российской Федерации. Указанное позволит обеспечить законность процедуры согласования вероятного вред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</w:t>
      </w:r>
    </w:p>
    <w:p>
      <w:pPr>
        <w:pStyle w:val="Normal"/>
        <w:tabs>
          <w:tab w:val="clear" w:pos="708"/>
          <w:tab w:val="left" w:pos="1430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11. Срок, в течение которог</w:t>
      </w: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>о разработчиком принимаются предложения: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с 28.07.2025 г. по 13.08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.2025г.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contextualSpacing/>
        <w:jc w:val="both"/>
        <w:rPr>
          <w:u w:val="single"/>
        </w:rPr>
      </w:pPr>
      <w:r>
        <w:rPr>
          <w:rFonts w:eastAsia="Times New Roman" w:cs="Times New Roman" w:ascii="Times New Roman" w:hAnsi="Times New Roman"/>
          <w:sz w:val="27"/>
          <w:szCs w:val="27"/>
          <w:u w:val="single"/>
          <w:lang w:eastAsia="ru-RU"/>
        </w:rPr>
        <w:t xml:space="preserve">12. Контактные данные для направления предложений: </w:t>
      </w:r>
    </w:p>
    <w:p>
      <w:pPr>
        <w:pStyle w:val="Normal"/>
        <w:tabs>
          <w:tab w:val="clear" w:pos="708"/>
          <w:tab w:val="left" w:pos="1502" w:leader="none"/>
        </w:tabs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Почтовый адрес: 420049, Казань, ул. Павлюхина, 75, электронный адрес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val="en-US" w:eastAsia="ru-RU"/>
        </w:rPr>
        <w:t>Tatyana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.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val="en-US" w:eastAsia="ru-RU"/>
        </w:rPr>
        <w:t>Ahmanova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@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val="en-US" w:eastAsia="ru-RU"/>
        </w:rPr>
        <w:t>tatar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.</w:t>
      </w:r>
      <w:r>
        <w:rPr>
          <w:rStyle w:val="Hyperlink"/>
          <w:rFonts w:eastAsia="Times New Roman" w:cs="Times New Roman" w:ascii="Times New Roman" w:hAnsi="Times New Roman"/>
          <w:color w:val="auto"/>
          <w:sz w:val="28"/>
          <w:szCs w:val="28"/>
          <w:u w:val="none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3</Pages>
  <Words>743</Words>
  <Characters>5500</Characters>
  <CharactersWithSpaces>6248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2025-07-25T11:44:00Z</dcterms:created>
  <dc:creator>213-User1</dc:creator>
  <dc:description/>
  <dc:language>ru-RU</dc:language>
  <cp:lastModifiedBy/>
  <cp:lastPrinted>2025-03-03T11:37:00Z</cp:lastPrinted>
  <dcterms:modified xsi:type="dcterms:W3CDTF">2025-07-28T14:03:32Z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