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    </w:t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Доклад о правоприменительной практике по итогам</w:t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осуществления </w:t>
      </w:r>
      <w:r>
        <w:rPr>
          <w:rFonts w:cs="Times New Roman" w:ascii="Times New Roman" w:hAnsi="Times New Roman"/>
          <w:b/>
          <w:bCs/>
          <w:sz w:val="28"/>
          <w:szCs w:val="28"/>
        </w:rPr>
        <w:t xml:space="preserve">регионального государственного геологического контроля (надзора) </w:t>
      </w:r>
      <w:r>
        <w:rPr>
          <w:rFonts w:cs="Times New Roman" w:ascii="Times New Roman" w:hAnsi="Times New Roman"/>
          <w:b/>
          <w:sz w:val="28"/>
          <w:szCs w:val="28"/>
        </w:rPr>
        <w:t>за 2024 год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ab/>
        <w:t xml:space="preserve">Министерство экологии и  природных ресурсов Республики Татарстан осуществляет региональный государственный контроль (надзор) в  соответствии с нормами федерального закона от 31.07.2020 № 248-ФЗ «О государственном контроле (надзоре) и муниципальном контроле в Российской Федерации» (далее — Федерального закона № 248-ФЗ), а также  в соответствии с требованиями Постановления Правительства Российской Федерации от 10 марта 2022 года № 336 «Об особенностях организации и осуществления государственного контроля (надзора), муниципального контроля». Указанным постановлением  установлены ограничения на проведение контрольных (надзорных) мероприятий. Отменены плановые контрольно-надзорные мероприятия, внеплановые проводятся в исключительных случаях по согласованию с органами прокуратуры, а также установлены ограничения на возбуждение дел об административном правонарушении.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 xml:space="preserve">Порядок организации и осуществления регионального государственного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геологического</w:t>
      </w:r>
      <w:r>
        <w:rPr>
          <w:rFonts w:cs="Times New Roman" w:ascii="Times New Roman" w:hAnsi="Times New Roman"/>
          <w:b/>
          <w:bCs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контроля (надзора) установлен Положением о региональном государственном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геологическом</w:t>
      </w:r>
      <w:r>
        <w:rPr>
          <w:rFonts w:cs="Times New Roman" w:ascii="Times New Roman" w:hAnsi="Times New Roman"/>
          <w:sz w:val="28"/>
          <w:szCs w:val="28"/>
        </w:rPr>
        <w:t xml:space="preserve"> контроле (надзоре) на территории Республики Татарстан (утв. Постановлением Кабинета Министров № 940 от 30 сентября 2021 года).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На территории республики зарегистрирована 321 действующая лицензия (регионального надзора) на право пользования общераспространенными полезными ископаемыми, из них 201 – на суше, 120 – в акватории. На право пользования подземными водами зарегистрировано 1 808 лицензий.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В ходе наблюдений за соблюдением обязательных требований проведен анализ лицензионных соглашений, включая сбор, анализ данных об объектах контроля.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По результатам проведенных наблюдений за соблюдением обязательных требований в рамках осуществления государственного геологического контроля (надзора) выявляются следующие нарушения: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</w:t>
        <w:tab/>
        <w:t>необеспечение требований технических проектов в части соблюдения установленного уровня добычи полезного ископаемого;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ab/>
        <w:t>нарушение сроков подготовки проектов на геологоразведочные работы;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 </w:t>
        <w:tab/>
        <w:t>невыполнение установленных объемов геологоразведочных работ;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 </w:t>
        <w:tab/>
        <w:t>нарушение сроков подготовки технических проектов;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 </w:t>
        <w:tab/>
        <w:t>необеспечение выхода предприятия на проектную мощность в установленный срок;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 </w:t>
        <w:tab/>
        <w:t>непредставление форм статистической отчетности, а также геологической информации;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 </w:t>
        <w:tab/>
        <w:t>задолженность по уплате налога на добычу полезных ископаемых.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 w:ascii="Times New Roman" w:hAnsi="Times New Roman"/>
          <w:sz w:val="28"/>
          <w:szCs w:val="28"/>
          <w:lang w:eastAsia="en-US"/>
        </w:rPr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 w:ascii="Times New Roman" w:hAnsi="Times New Roman"/>
          <w:sz w:val="28"/>
          <w:szCs w:val="28"/>
          <w:lang w:eastAsia="en-US"/>
        </w:rPr>
        <w:tab/>
        <w:t>Перечень типовых и массовых нарушений, выявленных при региональном государственной геологическом (контроле) надзоре в соответствии со статьями «Кодекса Российской Федерации об административных правонарушениях» от 30.12.2001 № 195-ФЗ (далее - КоАП РФ):</w:t>
      </w:r>
    </w:p>
    <w:tbl>
      <w:tblPr>
        <w:tblStyle w:val="ae"/>
        <w:tblW w:w="5000" w:type="pct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186"/>
        <w:gridCol w:w="4364"/>
        <w:gridCol w:w="1304"/>
        <w:gridCol w:w="900"/>
        <w:gridCol w:w="1226"/>
        <w:gridCol w:w="1224"/>
      </w:tblGrid>
      <w:tr>
        <w:trPr>
          <w:trHeight w:val="633" w:hRule="atLeast"/>
        </w:trPr>
        <w:tc>
          <w:tcPr>
            <w:tcW w:w="118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200"/>
              <w:ind w:left="0" w:hanging="0"/>
              <w:jc w:val="center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24"/>
                <w:szCs w:val="24"/>
                <w:lang w:val="ru-RU" w:bidi="ar-SA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bCs/>
                <w:kern w:val="0"/>
                <w:sz w:val="24"/>
                <w:szCs w:val="24"/>
                <w:lang w:val="ru-RU" w:bidi="ar-SA"/>
              </w:rPr>
              <w:t>п/п</w:t>
            </w:r>
          </w:p>
        </w:tc>
        <w:tc>
          <w:tcPr>
            <w:tcW w:w="436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200"/>
              <w:ind w:left="0" w:hanging="0"/>
              <w:jc w:val="center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24"/>
                <w:szCs w:val="24"/>
                <w:lang w:val="ru-RU" w:bidi="ar-SA"/>
              </w:rPr>
              <w:t>Наименование статьи</w:t>
            </w:r>
          </w:p>
        </w:tc>
        <w:tc>
          <w:tcPr>
            <w:tcW w:w="4654" w:type="dxa"/>
            <w:gridSpan w:val="4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200"/>
              <w:ind w:left="0" w:hanging="0"/>
              <w:jc w:val="center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24"/>
                <w:szCs w:val="24"/>
                <w:lang w:val="ru-RU" w:bidi="ar-SA"/>
              </w:rPr>
              <w:t xml:space="preserve">Количество выявленных нарушений, ед. </w:t>
            </w:r>
          </w:p>
        </w:tc>
      </w:tr>
      <w:tr>
        <w:trPr>
          <w:trHeight w:val="633" w:hRule="atLeast"/>
        </w:trPr>
        <w:tc>
          <w:tcPr>
            <w:tcW w:w="118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200"/>
              <w:ind w:left="0" w:hanging="0"/>
              <w:jc w:val="center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436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200"/>
              <w:ind w:left="0" w:hanging="0"/>
              <w:jc w:val="center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304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200"/>
              <w:ind w:left="0" w:hanging="0"/>
              <w:jc w:val="center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24"/>
                <w:szCs w:val="24"/>
                <w:lang w:val="ru-RU" w:bidi="ar-SA"/>
              </w:rPr>
              <w:t>2021</w:t>
            </w:r>
          </w:p>
        </w:tc>
        <w:tc>
          <w:tcPr>
            <w:tcW w:w="900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200"/>
              <w:ind w:left="0" w:hanging="0"/>
              <w:jc w:val="center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24"/>
                <w:szCs w:val="24"/>
                <w:lang w:val="ru-RU" w:bidi="ar-SA"/>
              </w:rPr>
              <w:t>2022</w:t>
            </w:r>
          </w:p>
        </w:tc>
        <w:tc>
          <w:tcPr>
            <w:tcW w:w="1226" w:type="dxa"/>
            <w:tcBorders>
              <w:right w:val="nil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200"/>
              <w:ind w:left="0" w:hanging="0"/>
              <w:jc w:val="center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24"/>
                <w:szCs w:val="24"/>
                <w:lang w:val="ru-RU" w:bidi="ar-SA"/>
              </w:rPr>
              <w:t>2023</w:t>
            </w:r>
          </w:p>
        </w:tc>
        <w:tc>
          <w:tcPr>
            <w:tcW w:w="1224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200"/>
              <w:ind w:left="0" w:hanging="0"/>
              <w:jc w:val="center"/>
              <w:outlineLvl w:val="2"/>
              <w:rPr>
                <w:color w:val="auto"/>
              </w:rPr>
            </w:pPr>
            <w:r>
              <w:rPr>
                <w:rFonts w:cs="Times New Roman" w:ascii="Times New Roman" w:hAnsi="Times New Roman"/>
                <w:bCs/>
                <w:color w:val="auto"/>
                <w:sz w:val="24"/>
                <w:szCs w:val="24"/>
              </w:rPr>
              <w:t>2024*</w:t>
            </w:r>
          </w:p>
        </w:tc>
      </w:tr>
      <w:tr>
        <w:trPr/>
        <w:tc>
          <w:tcPr>
            <w:tcW w:w="1186" w:type="dxa"/>
            <w:tcBorders/>
            <w:vAlign w:val="center"/>
          </w:tcPr>
          <w:p>
            <w:pPr>
              <w:pStyle w:val="Normal"/>
              <w:widowControl w:val="false"/>
              <w:spacing w:before="0" w:after="2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ст. 7.3 ч.2</w:t>
            </w:r>
          </w:p>
        </w:tc>
        <w:tc>
          <w:tcPr>
            <w:tcW w:w="4364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200"/>
              <w:ind w:left="0" w:hanging="0"/>
              <w:jc w:val="both"/>
              <w:outlineLvl w:val="0"/>
              <w:rPr>
                <w:rFonts w:ascii="Times New Roman" w:hAnsi="Times New Roman" w:eastAsia="Calibri" w:cs="Times New Roman" w:eastAsiaTheme="minorHAnsi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kern w:val="0"/>
                <w:sz w:val="24"/>
                <w:szCs w:val="24"/>
                <w:lang w:val="ru-RU" w:bidi="ar-SA"/>
              </w:rPr>
              <w:t>Нарушение условий, предусмотренных лицензией на пользование недрами, и (или) требований утвержденных в установленном порядке технических проектов</w:t>
            </w:r>
          </w:p>
        </w:tc>
        <w:tc>
          <w:tcPr>
            <w:tcW w:w="1304" w:type="dxa"/>
            <w:tcBorders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bidi="ar-SA"/>
              </w:rPr>
              <w:t>136</w:t>
            </w:r>
          </w:p>
        </w:tc>
        <w:tc>
          <w:tcPr>
            <w:tcW w:w="900" w:type="dxa"/>
            <w:tcBorders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bidi="ar-SA"/>
              </w:rPr>
              <w:t>153</w:t>
            </w:r>
          </w:p>
        </w:tc>
        <w:tc>
          <w:tcPr>
            <w:tcW w:w="1226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bidi="ar-SA"/>
              </w:rPr>
              <w:t>185</w:t>
            </w:r>
          </w:p>
        </w:tc>
        <w:tc>
          <w:tcPr>
            <w:tcW w:w="1224" w:type="dxa"/>
            <w:tcBorders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11</w:t>
            </w:r>
          </w:p>
        </w:tc>
      </w:tr>
      <w:tr>
        <w:trPr>
          <w:trHeight w:val="939" w:hRule="atLeast"/>
        </w:trPr>
        <w:tc>
          <w:tcPr>
            <w:tcW w:w="1186" w:type="dxa"/>
            <w:tcBorders/>
            <w:vAlign w:val="center"/>
          </w:tcPr>
          <w:p>
            <w:pPr>
              <w:pStyle w:val="Normal"/>
              <w:widowControl w:val="false"/>
              <w:spacing w:before="0" w:after="2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ст. 7.3 ч.1</w:t>
            </w:r>
          </w:p>
        </w:tc>
        <w:tc>
          <w:tcPr>
            <w:tcW w:w="4364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200"/>
              <w:ind w:left="0" w:hanging="0"/>
              <w:jc w:val="both"/>
              <w:outlineLvl w:val="0"/>
              <w:rPr>
                <w:rFonts w:ascii="Times New Roman" w:hAnsi="Times New Roman" w:eastAsia="Calibri" w:cs="Times New Roman" w:eastAsiaTheme="minorHAnsi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kern w:val="0"/>
                <w:sz w:val="24"/>
                <w:szCs w:val="24"/>
                <w:lang w:val="ru-RU" w:bidi="ar-SA"/>
              </w:rPr>
              <w:t>Пользование недрами без лицензии на пользование недрами</w:t>
            </w:r>
          </w:p>
        </w:tc>
        <w:tc>
          <w:tcPr>
            <w:tcW w:w="1304" w:type="dxa"/>
            <w:tcBorders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bidi="ar-SA"/>
              </w:rPr>
              <w:t>49</w:t>
            </w:r>
          </w:p>
        </w:tc>
        <w:tc>
          <w:tcPr>
            <w:tcW w:w="900" w:type="dxa"/>
            <w:tcBorders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bidi="ar-SA"/>
              </w:rPr>
              <w:t>31</w:t>
            </w:r>
          </w:p>
        </w:tc>
        <w:tc>
          <w:tcPr>
            <w:tcW w:w="1226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bidi="ar-SA"/>
              </w:rPr>
              <w:t>41</w:t>
            </w:r>
          </w:p>
        </w:tc>
        <w:tc>
          <w:tcPr>
            <w:tcW w:w="1224" w:type="dxa"/>
            <w:tcBorders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47</w:t>
            </w:r>
          </w:p>
        </w:tc>
      </w:tr>
    </w:tbl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* – </w:t>
      </w:r>
      <w:r>
        <w:rPr>
          <w:rFonts w:cs="Times New Roman" w:ascii="Times New Roman" w:hAnsi="Times New Roman"/>
          <w:sz w:val="20"/>
          <w:szCs w:val="20"/>
        </w:rPr>
        <w:t>нарушения выявлены в рамках контрольных (надзорных) мероприятий без взаимодействия с контролируемым лицом в форме выездных обследований.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Calibri" w:cs="Times New Roman" w:ascii="Times New Roman" w:hAnsi="Times New Roman"/>
          <w:b/>
          <w:bCs/>
          <w:color w:val="auto"/>
          <w:kern w:val="0"/>
          <w:sz w:val="28"/>
          <w:szCs w:val="28"/>
          <w:lang w:val="ru-RU" w:eastAsia="en-US" w:bidi="ar-SA"/>
        </w:rPr>
        <w:tab/>
      </w:r>
      <w:r>
        <w:rPr>
          <w:rFonts w:eastAsia="Calibri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В 2024 году выявлено 47 нарушений (ч. 2 ст. 7.3 КоАП РФ) выполнения условий, установленных лицензией на пользование недрами местного значения. В отношении контролируемых лиц Министерство объявило 38 предостережений о недопустимости нарушения обязательных требований и необходимости принятия мер по обеспечению их соблюдения.</w:t>
      </w:r>
    </w:p>
    <w:p>
      <w:pPr>
        <w:pStyle w:val="Normal"/>
        <w:spacing w:before="0" w:after="0"/>
        <w:jc w:val="both"/>
        <w:rPr>
          <w:b w:val="false"/>
          <w:bCs w:val="false"/>
        </w:rPr>
      </w:pPr>
      <w:r>
        <w:rPr>
          <w:rFonts w:eastAsia="Calibri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ab/>
        <w:t>Выявлено 11 фактов (ч. 1 ст. 7.3 КоАП РФ) безлицензионного пользования недрами, выдано 9 предостережений, предъявлено 17 претензионно-исковых требований с целью понуждения к устранению выявленных нарушений, произведено 6 расчетов вреда, причиненного недрам вследствие нарушения законодательства Российской Федерации о недрах на общую сумму 3,2 млн руб., в соответствии с Правилами расчета размера вреда, причиненного недрам вследствие нарушения законодательства Российской Федерации о недрах, утвержденными Постановлением Правительства Российской Феде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lang w:eastAsia="en-US"/>
        </w:rPr>
        <w:t>рации от 04.07.2013 № 564. По материалам правоохранительных органов наложено 19 административных штрафов на сумму 0,8 млн руб.</w:t>
      </w:r>
    </w:p>
    <w:p>
      <w:pPr>
        <w:pStyle w:val="Normal"/>
        <w:spacing w:before="0" w:after="0"/>
        <w:jc w:val="both"/>
        <w:rPr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    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Министерство при проведении профилактических мероприятий осуществляет взаимодействие с юридическими лицами, индивидуальными предпринимателями только в случаях, установленных Федеральным законом от 31.07.2020 № 248-ФЗ «О государственном контроле (надзоре) и муниципальном контроле в Российской Федерации».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Профилактические мероприятия осуществляются с целью: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FF0000"/>
          <w:sz w:val="28"/>
          <w:szCs w:val="28"/>
        </w:rPr>
        <w:tab/>
      </w:r>
      <w:r>
        <w:rPr>
          <w:rFonts w:cs="Times New Roman" w:ascii="Times New Roman" w:hAnsi="Times New Roman"/>
          <w:sz w:val="28"/>
          <w:szCs w:val="28"/>
        </w:rPr>
        <w:t xml:space="preserve">- стимулирование добросовестного соблюдения обязательных требований юридическими лицами и индивидуальными предпринимателями, осуществляющих хозяйственную и (или) иную деятельность с использованием объектов, которые оказывают негативное воздействие на окружающую среду;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 xml:space="preserve">- устранение условий, причин и факторов, способных привести к нарушениям обязательных требований и (или) причинению вреда (ущерба) охране окружающей среды;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- создание условий для доведения обязательных требований до юридических лиц и индивидуальных предпринимателей, оказывающих негативное воздействие на окружающую среду.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C9211E"/>
          <w:sz w:val="28"/>
          <w:szCs w:val="28"/>
          <w:shd w:fill="auto" w:val="clear"/>
        </w:rPr>
        <w:tab/>
      </w:r>
      <w:r>
        <w:rPr>
          <w:rFonts w:cs="Times New Roman" w:ascii="Times New Roman" w:hAnsi="Times New Roman"/>
          <w:b w:val="false"/>
          <w:bCs w:val="false"/>
          <w:sz w:val="28"/>
          <w:szCs w:val="28"/>
          <w:shd w:fill="auto" w:val="clear"/>
        </w:rPr>
        <w:t>С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 целью принятия мер профилактического характера к лицам, в результате деятельности которых может быть причинен вред компонентам окружающей среды, проведено 14 профилактических визитов в форме профилактической беседы по месту осуществления деятельности контролируемого лица.</w:t>
      </w:r>
    </w:p>
    <w:p>
      <w:pPr>
        <w:pStyle w:val="Normal"/>
        <w:spacing w:before="0" w:after="0"/>
        <w:jc w:val="both"/>
        <w:rPr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ab/>
        <w:t>В ходе профилактического визита контролируемое лицо информируется об обязательных требованиях, предъявляемых к его деятельности либо к принадлежащим ему объектам контроля. Контролируемое лицо вправе отказаться от проведения обязательного профилактического визита, уведомив об этом орган государственного надзора не позднее чем за 3 рабочих дня до даты его проведения. Количество таких отказов в рамках осуществления геологического надзора в 2024 году составило 1.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ab/>
      </w:r>
      <w:r>
        <w:rPr>
          <w:rFonts w:cs="Times New Roman" w:ascii="Times New Roman" w:hAnsi="Times New Roman"/>
          <w:sz w:val="28"/>
          <w:szCs w:val="28"/>
          <w:shd w:fill="auto" w:val="clear"/>
        </w:rPr>
        <w:t>В 2024 г. проведены профилактические (публичные) мероприятия:</w:t>
      </w:r>
    </w:p>
    <w:p>
      <w:pPr>
        <w:pStyle w:val="Normal"/>
        <w:spacing w:before="0" w:after="0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  <w:lang w:eastAsia="ru-RU"/>
        </w:rPr>
        <w:t>- «Об итогах работы Министерства экологии и природных ресурсов Республики Татарстан при осуществлении регионального государственного экологического контроля (надзора) и регионального государственного геологического контроля (надзора)» за 2023 год и задачах на 2024 год»;</w:t>
      </w:r>
    </w:p>
    <w:p>
      <w:pPr>
        <w:pStyle w:val="Normal"/>
        <w:spacing w:before="0" w:after="0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  <w:lang w:eastAsia="ru-RU"/>
        </w:rPr>
        <w:t>- «Оформление разрешительной документации для пользования подземными и поверхностными водами».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color w:val="C9211E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shd w:fill="FFFF00" w:val="clear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 xml:space="preserve"> </w:t>
      </w:r>
    </w:p>
    <w:sectPr>
      <w:headerReference w:type="default" r:id="rId2"/>
      <w:type w:val="nextPage"/>
      <w:pgSz w:w="11906" w:h="16838"/>
      <w:pgMar w:left="1134" w:right="567" w:gutter="0" w:header="709" w:top="766" w:footer="0" w:bottom="567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Cambria">
    <w:charset w:val="01"/>
    <w:family w:val="roman"/>
    <w:pitch w:val="default"/>
  </w:font>
  <w:font w:name="Tahoma">
    <w:charset w:val="01"/>
    <w:family w:val="roman"/>
    <w:pitch w:val="default"/>
  </w:font>
  <w:font w:name="Arial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Verdana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3"/>
      <w:jc w:val="center"/>
      <w:rPr>
        <w:rFonts w:ascii="Times New Roman" w:hAnsi="Times New Roman" w:cs="Times New Roman"/>
        <w:sz w:val="28"/>
        <w:szCs w:val="28"/>
      </w:rPr>
    </w:pPr>
    <w:r>
      <w:rPr>
        <w:rFonts w:cs="Times New Roman" w:ascii="Times New Roman" w:hAnsi="Times New Roman"/>
        <w:sz w:val="28"/>
        <w:szCs w:val="28"/>
      </w:rPr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1755" cy="169545"/>
              <wp:effectExtent l="0" t="0" r="0" b="0"/>
              <wp:wrapSquare wrapText="largest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640" cy="1695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3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3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252.25pt;margin-top:0.05pt;width:5.6pt;height:13.3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3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3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  <w:p>
    <w:pPr>
      <w:pStyle w:val="Style23"/>
      <w:rPr/>
    </w:pPr>
    <w:r>
      <w:rPr/>
    </w:r>
  </w:p>
</w:hdr>
</file>

<file path=word/settings.xml><?xml version="1.0" encoding="utf-8"?>
<w:settings xmlns:w="http://schemas.openxmlformats.org/wordprocessingml/2006/main">
  <w:zoom w:percent="160"/>
  <w:embedSystemFonts/>
  <w:defaultTabStop w:val="708"/>
  <w:autoHyphenation w:val="true"/>
  <w:doNotHyphenateCaps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c27d3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ru-RU" w:eastAsia="en-US" w:bidi="ar-SA"/>
    </w:rPr>
  </w:style>
  <w:style w:type="paragraph" w:styleId="3">
    <w:name w:val="Heading 3"/>
    <w:basedOn w:val="Normal"/>
    <w:link w:val="31"/>
    <w:uiPriority w:val="99"/>
    <w:qFormat/>
    <w:locked/>
    <w:rsid w:val="00d731e4"/>
    <w:pPr>
      <w:spacing w:lineRule="auto" w:line="240" w:beforeAutospacing="1" w:afterAutospacing="1"/>
      <w:outlineLvl w:val="2"/>
    </w:pPr>
    <w:rPr>
      <w:b/>
      <w:bCs/>
      <w:sz w:val="27"/>
      <w:szCs w:val="27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31" w:customStyle="1">
    <w:name w:val="Заголовок 3 Знак"/>
    <w:basedOn w:val="DefaultParagraphFont"/>
    <w:uiPriority w:val="99"/>
    <w:semiHidden/>
    <w:qFormat/>
    <w:locked/>
    <w:rsid w:val="007739b3"/>
    <w:rPr>
      <w:rFonts w:ascii="Cambria" w:hAnsi="Cambria" w:cs="Cambria"/>
      <w:b/>
      <w:bCs/>
      <w:sz w:val="26"/>
      <w:szCs w:val="26"/>
      <w:lang w:eastAsia="en-US"/>
    </w:rPr>
  </w:style>
  <w:style w:type="character" w:styleId="-">
    <w:name w:val="Hyperlink"/>
    <w:basedOn w:val="DefaultParagraphFont"/>
    <w:uiPriority w:val="99"/>
    <w:rsid w:val="00ba5797"/>
    <w:rPr>
      <w:color w:val="0000FF"/>
      <w:u w:val="single"/>
    </w:rPr>
  </w:style>
  <w:style w:type="character" w:styleId="Style13" w:customStyle="1">
    <w:name w:val="Верхний колонтитул Знак"/>
    <w:basedOn w:val="DefaultParagraphFont"/>
    <w:uiPriority w:val="99"/>
    <w:qFormat/>
    <w:locked/>
    <w:rsid w:val="00a77c82"/>
    <w:rPr/>
  </w:style>
  <w:style w:type="character" w:styleId="Style14" w:customStyle="1">
    <w:name w:val="Нижний колонтитул Знак"/>
    <w:basedOn w:val="DefaultParagraphFont"/>
    <w:uiPriority w:val="99"/>
    <w:qFormat/>
    <w:locked/>
    <w:rsid w:val="00a77c82"/>
    <w:rPr/>
  </w:style>
  <w:style w:type="character" w:styleId="Style15" w:customStyle="1">
    <w:name w:val="Текст выноски Знак"/>
    <w:basedOn w:val="DefaultParagraphFont"/>
    <w:link w:val="BalloonText"/>
    <w:uiPriority w:val="99"/>
    <w:semiHidden/>
    <w:qFormat/>
    <w:locked/>
    <w:rsid w:val="001b5b0f"/>
    <w:rPr>
      <w:rFonts w:ascii="Tahoma" w:hAnsi="Tahoma" w:cs="Tahoma"/>
      <w:sz w:val="16"/>
      <w:szCs w:val="16"/>
    </w:rPr>
  </w:style>
  <w:style w:type="character" w:styleId="Apple-converted-space" w:customStyle="1">
    <w:name w:val="apple-converted-space"/>
    <w:basedOn w:val="DefaultParagraphFont"/>
    <w:uiPriority w:val="99"/>
    <w:qFormat/>
    <w:rsid w:val="00cf560f"/>
    <w:rPr/>
  </w:style>
  <w:style w:type="character" w:styleId="ConsPlusNormal" w:customStyle="1">
    <w:name w:val="ConsPlusNormal Знак"/>
    <w:link w:val="ConsPlusNormal1"/>
    <w:uiPriority w:val="99"/>
    <w:qFormat/>
    <w:locked/>
    <w:rsid w:val="00ea04a6"/>
    <w:rPr>
      <w:rFonts w:ascii="Arial" w:hAnsi="Arial" w:cs="Arial"/>
      <w:sz w:val="22"/>
      <w:szCs w:val="22"/>
      <w:lang w:val="ru-RU" w:eastAsia="ru-RU"/>
    </w:rPr>
  </w:style>
  <w:style w:type="character" w:styleId="FontStyle25" w:customStyle="1">
    <w:name w:val="Font Style25"/>
    <w:uiPriority w:val="99"/>
    <w:qFormat/>
    <w:rsid w:val="00194381"/>
    <w:rPr>
      <w:rFonts w:ascii="Times New Roman" w:hAnsi="Times New Roman" w:cs="Times New Roman"/>
      <w:sz w:val="24"/>
      <w:szCs w:val="24"/>
    </w:rPr>
  </w:style>
  <w:style w:type="character" w:styleId="FontStyle16" w:customStyle="1">
    <w:name w:val="Font Style16"/>
    <w:uiPriority w:val="99"/>
    <w:qFormat/>
    <w:rsid w:val="00194381"/>
    <w:rPr>
      <w:rFonts w:ascii="Times New Roman" w:hAnsi="Times New Roman" w:cs="Times New Roman"/>
      <w:sz w:val="24"/>
      <w:szCs w:val="24"/>
    </w:rPr>
  </w:style>
  <w:style w:type="character" w:styleId="FontStyle19" w:customStyle="1">
    <w:name w:val="Font Style19"/>
    <w:basedOn w:val="DefaultParagraphFont"/>
    <w:uiPriority w:val="99"/>
    <w:qFormat/>
    <w:rsid w:val="00194381"/>
    <w:rPr>
      <w:rFonts w:ascii="Times New Roman" w:hAnsi="Times New Roman" w:cs="Times New Roman"/>
      <w:sz w:val="26"/>
      <w:szCs w:val="26"/>
    </w:rPr>
  </w:style>
  <w:style w:type="character" w:styleId="FontStyle22" w:customStyle="1">
    <w:name w:val="Font Style22"/>
    <w:uiPriority w:val="99"/>
    <w:qFormat/>
    <w:rsid w:val="00194381"/>
    <w:rPr>
      <w:rFonts w:ascii="Times New Roman" w:hAnsi="Times New Roman" w:cs="Times New Roman"/>
      <w:b/>
      <w:bCs/>
      <w:sz w:val="26"/>
      <w:szCs w:val="26"/>
    </w:rPr>
  </w:style>
  <w:style w:type="character" w:styleId="FontStyle17" w:customStyle="1">
    <w:name w:val="Font Style17"/>
    <w:uiPriority w:val="99"/>
    <w:qFormat/>
    <w:rsid w:val="00194381"/>
    <w:rPr>
      <w:rFonts w:ascii="Times New Roman" w:hAnsi="Times New Roman" w:cs="Times New Roman"/>
      <w:sz w:val="26"/>
      <w:szCs w:val="26"/>
    </w:rPr>
  </w:style>
  <w:style w:type="character" w:styleId="WW8Num17z1" w:customStyle="1">
    <w:name w:val="WW8Num17z1"/>
    <w:uiPriority w:val="99"/>
    <w:qFormat/>
    <w:rsid w:val="00194381"/>
    <w:rPr/>
  </w:style>
  <w:style w:type="character" w:styleId="FontStyle21" w:customStyle="1">
    <w:name w:val="Font Style21"/>
    <w:uiPriority w:val="99"/>
    <w:qFormat/>
    <w:rsid w:val="00194381"/>
    <w:rPr>
      <w:rFonts w:ascii="Times New Roman" w:hAnsi="Times New Roman" w:cs="Times New Roman"/>
      <w:sz w:val="26"/>
      <w:szCs w:val="26"/>
    </w:rPr>
  </w:style>
  <w:style w:type="character" w:styleId="FontStyle20" w:customStyle="1">
    <w:name w:val="Font Style20"/>
    <w:uiPriority w:val="99"/>
    <w:qFormat/>
    <w:rsid w:val="00194381"/>
    <w:rPr>
      <w:rFonts w:ascii="Times New Roman" w:hAnsi="Times New Roman" w:cs="Times New Roman"/>
      <w:sz w:val="26"/>
      <w:szCs w:val="26"/>
    </w:rPr>
  </w:style>
  <w:style w:type="character" w:styleId="FontStyle13" w:customStyle="1">
    <w:name w:val="Font Style13"/>
    <w:uiPriority w:val="99"/>
    <w:qFormat/>
    <w:rsid w:val="00194381"/>
    <w:rPr>
      <w:rFonts w:ascii="Times New Roman" w:hAnsi="Times New Roman" w:cs="Times New Roman"/>
      <w:b/>
      <w:bCs/>
      <w:sz w:val="26"/>
      <w:szCs w:val="26"/>
    </w:rPr>
  </w:style>
  <w:style w:type="character" w:styleId="Bodytext2" w:customStyle="1">
    <w:name w:val="Body text (2)_"/>
    <w:link w:val="Bodytext21"/>
    <w:uiPriority w:val="99"/>
    <w:qFormat/>
    <w:locked/>
    <w:rsid w:val="00194381"/>
    <w:rPr>
      <w:sz w:val="28"/>
      <w:szCs w:val="28"/>
      <w:shd w:fill="FFFFFF" w:val="clear"/>
    </w:rPr>
  </w:style>
  <w:style w:type="character" w:styleId="FontStyle27" w:customStyle="1">
    <w:name w:val="Font Style27"/>
    <w:uiPriority w:val="99"/>
    <w:qFormat/>
    <w:rsid w:val="00194381"/>
    <w:rPr>
      <w:rFonts w:ascii="Times New Roman" w:hAnsi="Times New Roman" w:cs="Times New Roman"/>
      <w:sz w:val="22"/>
      <w:szCs w:val="22"/>
    </w:rPr>
  </w:style>
  <w:style w:type="character" w:styleId="FontStyle29" w:customStyle="1">
    <w:name w:val="Font Style29"/>
    <w:uiPriority w:val="99"/>
    <w:qFormat/>
    <w:rsid w:val="00194381"/>
    <w:rPr>
      <w:rFonts w:ascii="Times New Roman" w:hAnsi="Times New Roman" w:cs="Times New Roman"/>
      <w:sz w:val="26"/>
      <w:szCs w:val="26"/>
    </w:rPr>
  </w:style>
  <w:style w:type="character" w:styleId="Style16" w:customStyle="1">
    <w:name w:val="Основной текст + Полужирный"/>
    <w:uiPriority w:val="99"/>
    <w:qFormat/>
    <w:rsid w:val="00194381"/>
    <w:rPr>
      <w:rFonts w:ascii="Times New Roman" w:hAnsi="Times New Roman" w:cs="Times New Roman"/>
      <w:b/>
      <w:bCs/>
      <w:sz w:val="25"/>
      <w:szCs w:val="25"/>
      <w:shd w:fill="FFFFFF" w:val="clear"/>
    </w:rPr>
  </w:style>
  <w:style w:type="character" w:styleId="FontStyle26" w:customStyle="1">
    <w:name w:val="Font Style26"/>
    <w:basedOn w:val="DefaultParagraphFont"/>
    <w:uiPriority w:val="99"/>
    <w:qFormat/>
    <w:rsid w:val="00194381"/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qFormat/>
    <w:rsid w:val="00150439"/>
    <w:rPr/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ascii="PT Astra Serif" w:hAnsi="PT Astra Serif" w:cs="Noto Sans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99"/>
    <w:qFormat/>
    <w:rsid w:val="00d723ee"/>
    <w:pPr>
      <w:ind w:left="720" w:hanging="0"/>
    </w:pPr>
    <w:rPr/>
  </w:style>
  <w:style w:type="paragraph" w:styleId="Style22">
    <w:name w:val="Колонтитул"/>
    <w:basedOn w:val="Normal"/>
    <w:qFormat/>
    <w:pPr/>
    <w:rPr/>
  </w:style>
  <w:style w:type="paragraph" w:styleId="Style23">
    <w:name w:val="Header"/>
    <w:basedOn w:val="Normal"/>
    <w:link w:val="Style13"/>
    <w:uiPriority w:val="99"/>
    <w:rsid w:val="00a77c82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4">
    <w:name w:val="Footer"/>
    <w:basedOn w:val="Normal"/>
    <w:link w:val="Style14"/>
    <w:uiPriority w:val="99"/>
    <w:rsid w:val="00a77c82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Style15"/>
    <w:uiPriority w:val="99"/>
    <w:semiHidden/>
    <w:qFormat/>
    <w:rsid w:val="001b5b0f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sPlusNormal1" w:customStyle="1">
    <w:name w:val="ConsPlusNormal"/>
    <w:link w:val="ConsPlusNormal"/>
    <w:uiPriority w:val="99"/>
    <w:qFormat/>
    <w:rsid w:val="00355e83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Calibri" w:cs="Arial"/>
      <w:color w:val="auto"/>
      <w:kern w:val="0"/>
      <w:sz w:val="22"/>
      <w:szCs w:val="22"/>
      <w:lang w:val="ru-RU" w:eastAsia="ru-RU" w:bidi="ar-SA"/>
    </w:rPr>
  </w:style>
  <w:style w:type="paragraph" w:styleId="1" w:customStyle="1">
    <w:name w:val="Знак Знак Знак Знак Знак Знак Знак Знак Знак Знак Знак Знак1 Знак Знак Знак Знак Знак Знак Знак"/>
    <w:basedOn w:val="Normal"/>
    <w:uiPriority w:val="99"/>
    <w:qFormat/>
    <w:rsid w:val="00d731e4"/>
    <w:pPr>
      <w:spacing w:lineRule="exact" w:line="240" w:before="0" w:after="160"/>
    </w:pPr>
    <w:rPr>
      <w:rFonts w:ascii="Verdana" w:hAnsi="Verdana" w:cs="Verdana"/>
      <w:sz w:val="20"/>
      <w:szCs w:val="20"/>
      <w:lang w:val="en-US"/>
    </w:rPr>
  </w:style>
  <w:style w:type="paragraph" w:styleId="Style91" w:customStyle="1">
    <w:name w:val="Style9"/>
    <w:basedOn w:val="Normal"/>
    <w:uiPriority w:val="99"/>
    <w:qFormat/>
    <w:rsid w:val="00194381"/>
    <w:pPr>
      <w:widowControl w:val="false"/>
      <w:spacing w:lineRule="exact" w:line="318" w:before="0" w:after="0"/>
      <w:ind w:firstLine="706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qFormat/>
    <w:rsid w:val="00194381"/>
    <w:pPr>
      <w:suppressAutoHyphens w:val="true"/>
      <w:spacing w:lineRule="auto" w:line="240" w:before="0" w:after="255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styleId="Style61" w:customStyle="1">
    <w:name w:val="Style6"/>
    <w:basedOn w:val="Normal"/>
    <w:uiPriority w:val="99"/>
    <w:qFormat/>
    <w:rsid w:val="00194381"/>
    <w:pPr>
      <w:suppressAutoHyphens w:val="true"/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styleId="Style71" w:customStyle="1">
    <w:name w:val="Style7"/>
    <w:basedOn w:val="Normal"/>
    <w:uiPriority w:val="99"/>
    <w:qFormat/>
    <w:rsid w:val="00194381"/>
    <w:pPr>
      <w:widowControl w:val="false"/>
      <w:spacing w:lineRule="exact" w:line="319" w:before="0" w:after="0"/>
      <w:ind w:firstLine="710"/>
      <w:jc w:val="both"/>
    </w:pPr>
    <w:rPr>
      <w:rFonts w:ascii="Times New Roman" w:hAnsi="Times New Roman" w:eastAsia="Malgun Gothic" w:cs="Times New Roman"/>
      <w:sz w:val="24"/>
      <w:szCs w:val="24"/>
      <w:lang w:eastAsia="ru-RU"/>
    </w:rPr>
  </w:style>
  <w:style w:type="paragraph" w:styleId="P19" w:customStyle="1">
    <w:name w:val="p19"/>
    <w:basedOn w:val="Normal"/>
    <w:uiPriority w:val="99"/>
    <w:qFormat/>
    <w:rsid w:val="0019438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odytext21" w:customStyle="1">
    <w:name w:val="Body text (2)"/>
    <w:basedOn w:val="Normal"/>
    <w:link w:val="Bodytext2"/>
    <w:uiPriority w:val="99"/>
    <w:qFormat/>
    <w:rsid w:val="00194381"/>
    <w:pPr>
      <w:widowControl w:val="false"/>
      <w:shd w:val="clear" w:color="auto" w:fill="FFFFFF"/>
      <w:spacing w:lineRule="exact" w:line="326" w:before="420" w:after="300"/>
      <w:jc w:val="both"/>
    </w:pPr>
    <w:rPr>
      <w:sz w:val="28"/>
      <w:szCs w:val="28"/>
      <w:shd w:fill="FFFFFF" w:val="clear"/>
      <w:lang w:eastAsia="ru-RU"/>
    </w:rPr>
  </w:style>
  <w:style w:type="paragraph" w:styleId="32" w:customStyle="1">
    <w:name w:val="Основной текст3"/>
    <w:basedOn w:val="Normal"/>
    <w:uiPriority w:val="99"/>
    <w:qFormat/>
    <w:rsid w:val="00194381"/>
    <w:pPr>
      <w:widowControl w:val="false"/>
      <w:shd w:val="clear" w:color="auto" w:fill="FFFFFF"/>
      <w:suppressAutoHyphens w:val="true"/>
      <w:spacing w:lineRule="exact" w:line="322" w:before="0" w:after="0"/>
      <w:jc w:val="center"/>
    </w:pPr>
    <w:rPr>
      <w:rFonts w:ascii="Times New Roman" w:hAnsi="Times New Roman" w:eastAsia="Times New Roman" w:cs="Times New Roman"/>
      <w:sz w:val="28"/>
      <w:szCs w:val="28"/>
      <w:lang w:eastAsia="ar-SA"/>
    </w:rPr>
  </w:style>
  <w:style w:type="paragraph" w:styleId="Style41" w:customStyle="1">
    <w:name w:val="Style4"/>
    <w:basedOn w:val="Normal"/>
    <w:uiPriority w:val="99"/>
    <w:qFormat/>
    <w:rsid w:val="00194381"/>
    <w:pPr>
      <w:spacing w:lineRule="exact" w:line="274" w:before="0" w:after="0"/>
      <w:ind w:firstLine="946"/>
      <w:jc w:val="both"/>
    </w:pPr>
    <w:rPr>
      <w:rFonts w:ascii="Times New Roman" w:hAnsi="Times New Roman" w:eastAsia="Times New Roman" w:cs="Times New Roman"/>
      <w:color w:val="00000A"/>
      <w:sz w:val="20"/>
      <w:szCs w:val="20"/>
      <w:lang w:eastAsia="ru-RU"/>
    </w:rPr>
  </w:style>
  <w:style w:type="paragraph" w:styleId="Style141" w:customStyle="1">
    <w:name w:val="Style14"/>
    <w:basedOn w:val="Normal"/>
    <w:uiPriority w:val="99"/>
    <w:qFormat/>
    <w:rsid w:val="00194381"/>
    <w:pPr>
      <w:widowControl w:val="false"/>
      <w:spacing w:lineRule="exact" w:line="483" w:before="0" w:after="0"/>
      <w:ind w:firstLine="686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5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e">
    <w:name w:val="Table Grid"/>
    <w:basedOn w:val="a1"/>
    <w:rsid w:val="00a729f8"/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F1BBF4-ED33-48F4-82C6-9DC4BD953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1968</TotalTime>
  <Application>LibreOffice/7.5.6.2$Linux_X86_64 LibreOffice_project/50$Build-2</Application>
  <AppVersion>15.0000</AppVersion>
  <Pages>3</Pages>
  <Words>738</Words>
  <Characters>5542</Characters>
  <CharactersWithSpaces>6300</CharactersWithSpaces>
  <Paragraphs>50</Paragraphs>
  <Company>РОН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2021-06-15T13:53:00Z</dcterms:created>
  <dc:creator>Трачук Ольга Витальевна</dc:creator>
  <dc:description/>
  <dc:language>ru-RU</dc:language>
  <cp:lastModifiedBy/>
  <cp:lastPrinted>2021-07-01T07:49:00Z</cp:lastPrinted>
  <dcterms:modified xsi:type="dcterms:W3CDTF">2025-03-14T15:50:37Z</dcterms:modified>
  <cp:revision>352</cp:revision>
  <dc:subject/>
  <dc:title>ПРОЕКТ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