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6096" w:firstLine="283"/>
        <w:jc w:val="right"/>
        <w:outlineLvl w:val="2"/>
        <w:rPr>
          <w:rFonts w:ascii="Times New Roman" w:hAnsi="Times New Roman" w:cs="Times New Roman"/>
          <w:bCs/>
          <w:sz w:val="28"/>
          <w:szCs w:val="28"/>
        </w:rPr>
      </w:pPr>
      <w:r>
        <w:rPr>
          <w:rFonts w:cs="Times New Roman" w:ascii="Times New Roman" w:hAnsi="Times New Roman"/>
          <w:bCs/>
          <w:sz w:val="28"/>
          <w:szCs w:val="28"/>
        </w:rPr>
        <w:t xml:space="preserve">Утверждена </w:t>
      </w:r>
    </w:p>
    <w:p>
      <w:pPr>
        <w:pStyle w:val="Normal"/>
        <w:numPr>
          <w:ilvl w:val="0"/>
          <w:numId w:val="0"/>
        </w:numPr>
        <w:ind w:left="6096" w:firstLine="283"/>
        <w:jc w:val="right"/>
        <w:outlineLvl w:val="2"/>
        <w:rPr>
          <w:rFonts w:ascii="Times New Roman" w:hAnsi="Times New Roman" w:cs="Times New Roman"/>
          <w:bCs/>
          <w:sz w:val="28"/>
          <w:szCs w:val="28"/>
        </w:rPr>
      </w:pPr>
      <w:r>
        <w:rPr>
          <w:rFonts w:cs="Times New Roman" w:ascii="Times New Roman" w:hAnsi="Times New Roman"/>
          <w:bCs/>
          <w:sz w:val="28"/>
          <w:szCs w:val="28"/>
        </w:rPr>
        <w:t xml:space="preserve">Приказом Министерства экологии и природных ресурсов Республики Татарстан </w:t>
      </w:r>
    </w:p>
    <w:p>
      <w:pPr>
        <w:pStyle w:val="Normal"/>
        <w:numPr>
          <w:ilvl w:val="0"/>
          <w:numId w:val="0"/>
        </w:numPr>
        <w:ind w:left="6096" w:firstLine="283"/>
        <w:jc w:val="right"/>
        <w:outlineLvl w:val="2"/>
        <w:rPr>
          <w:rFonts w:ascii="Times New Roman" w:hAnsi="Times New Roman" w:cs="Times New Roman"/>
          <w:bCs/>
          <w:sz w:val="28"/>
          <w:szCs w:val="28"/>
        </w:rPr>
      </w:pPr>
      <w:r>
        <w:rPr>
          <w:rFonts w:cs="Times New Roman" w:ascii="Times New Roman" w:hAnsi="Times New Roman"/>
          <w:bCs/>
          <w:sz w:val="28"/>
          <w:szCs w:val="28"/>
        </w:rPr>
        <w:t>от «__» _________г. № ____</w:t>
      </w:r>
    </w:p>
    <w:p>
      <w:pPr>
        <w:pStyle w:val="Normal"/>
        <w:numPr>
          <w:ilvl w:val="0"/>
          <w:numId w:val="0"/>
        </w:numPr>
        <w:spacing w:lineRule="atLeast" w:line="270"/>
        <w:ind w:left="0" w:hanging="0"/>
        <w:jc w:val="center"/>
        <w:outlineLvl w:val="2"/>
        <w:rPr>
          <w:rFonts w:ascii="Times New Roman" w:hAnsi="Times New Roman" w:cs="Times New Roman"/>
          <w:b/>
          <w:bCs/>
          <w:sz w:val="32"/>
          <w:szCs w:val="32"/>
        </w:rPr>
      </w:pPr>
      <w:r>
        <w:rPr>
          <w:rFonts w:cs="Times New Roman" w:ascii="Times New Roman" w:hAnsi="Times New Roman"/>
          <w:b/>
          <w:bCs/>
          <w:sz w:val="32"/>
          <w:szCs w:val="32"/>
        </w:rPr>
      </w:r>
    </w:p>
    <w:p>
      <w:pPr>
        <w:pStyle w:val="Normal"/>
        <w:numPr>
          <w:ilvl w:val="0"/>
          <w:numId w:val="0"/>
        </w:numPr>
        <w:spacing w:lineRule="atLeast" w:line="270"/>
        <w:ind w:left="0" w:hanging="0"/>
        <w:jc w:val="center"/>
        <w:outlineLvl w:val="2"/>
        <w:rPr>
          <w:rFonts w:ascii="Times New Roman" w:hAnsi="Times New Roman" w:cs="Times New Roman"/>
          <w:b/>
          <w:bCs/>
          <w:sz w:val="32"/>
          <w:szCs w:val="32"/>
        </w:rPr>
      </w:pPr>
      <w:r>
        <w:rPr>
          <w:rFonts w:cs="Times New Roman" w:ascii="Times New Roman" w:hAnsi="Times New Roman"/>
          <w:b/>
          <w:bCs/>
          <w:sz w:val="32"/>
          <w:szCs w:val="32"/>
        </w:rPr>
      </w:r>
    </w:p>
    <w:p>
      <w:pPr>
        <w:pStyle w:val="Normal"/>
        <w:numPr>
          <w:ilvl w:val="0"/>
          <w:numId w:val="0"/>
        </w:numPr>
        <w:spacing w:lineRule="atLeast" w:line="270"/>
        <w:ind w:left="0" w:hanging="0"/>
        <w:jc w:val="center"/>
        <w:outlineLvl w:val="2"/>
        <w:rPr>
          <w:rFonts w:ascii="Times New Roman" w:hAnsi="Times New Roman" w:cs="Times New Roman"/>
          <w:b/>
          <w:bCs/>
          <w:sz w:val="32"/>
          <w:szCs w:val="32"/>
        </w:rPr>
      </w:pPr>
      <w:r>
        <w:rPr>
          <w:rFonts w:cs="Times New Roman" w:ascii="Times New Roman" w:hAnsi="Times New Roman"/>
          <w:b/>
          <w:bCs/>
          <w:sz w:val="32"/>
          <w:szCs w:val="32"/>
        </w:rPr>
        <w:t>Программа профилактики рисков причинения вреда (ущерба) недрам местного значения и нарушению обязательных требований в области регионального государственного геологического контроля (надзора) на 2025 год</w:t>
      </w:r>
    </w:p>
    <w:p>
      <w:pPr>
        <w:pStyle w:val="Normal"/>
        <w:numPr>
          <w:ilvl w:val="0"/>
          <w:numId w:val="0"/>
        </w:numPr>
        <w:spacing w:lineRule="atLeast" w:line="270"/>
        <w:ind w:left="0" w:hanging="0"/>
        <w:jc w:val="center"/>
        <w:outlineLvl w:val="2"/>
        <w:rPr>
          <w:rFonts w:ascii="Times New Roman" w:hAnsi="Times New Roman" w:cs="Times New Roman"/>
          <w:b/>
          <w:bCs/>
          <w:sz w:val="32"/>
          <w:szCs w:val="32"/>
        </w:rPr>
      </w:pPr>
      <w:r>
        <w:rPr>
          <w:rFonts w:cs="Times New Roman" w:ascii="Times New Roman" w:hAnsi="Times New Roman"/>
          <w:b/>
          <w:bCs/>
          <w:sz w:val="32"/>
          <w:szCs w:val="32"/>
        </w:rPr>
      </w:r>
    </w:p>
    <w:p>
      <w:pPr>
        <w:pStyle w:val="Normal"/>
        <w:numPr>
          <w:ilvl w:val="0"/>
          <w:numId w:val="0"/>
        </w:numPr>
        <w:spacing w:lineRule="atLeast" w:line="270"/>
        <w:ind w:left="0" w:hanging="0"/>
        <w:jc w:val="both"/>
        <w:outlineLvl w:val="2"/>
        <w:rPr>
          <w:rFonts w:ascii="Times New Roman" w:hAnsi="Times New Roman" w:cs="Times New Roman"/>
          <w:b/>
          <w:bCs/>
          <w:sz w:val="28"/>
          <w:szCs w:val="28"/>
        </w:rPr>
      </w:pPr>
      <w:r>
        <w:rPr>
          <w:rFonts w:cs="Times New Roman" w:ascii="Times New Roman" w:hAnsi="Times New Roman"/>
          <w:b/>
          <w:bCs/>
          <w:sz w:val="28"/>
          <w:szCs w:val="28"/>
        </w:rPr>
        <w:t>Раздел 1. Анализ текущего состояния осуществления регионального геологического контроля (надзора), описание текущего развития профилактической деятельности Министерства экологии и природных ресурсов Республики Татарстан (далее – Министерство), характеристика проблем, на решение которых направлена программа профилактики</w:t>
      </w:r>
    </w:p>
    <w:p>
      <w:pPr>
        <w:pStyle w:val="Normal"/>
        <w:numPr>
          <w:ilvl w:val="0"/>
          <w:numId w:val="0"/>
        </w:numPr>
        <w:spacing w:lineRule="atLeast" w:line="270"/>
        <w:ind w:left="0" w:hanging="0"/>
        <w:jc w:val="both"/>
        <w:outlineLvl w:val="2"/>
        <w:rPr>
          <w:rFonts w:ascii="Times New Roman" w:hAnsi="Times New Roman" w:cs="Times New Roman"/>
          <w:b/>
          <w:bCs/>
          <w:sz w:val="28"/>
          <w:szCs w:val="28"/>
        </w:rPr>
      </w:pPr>
      <w:r>
        <w:rPr>
          <w:rFonts w:cs="Times New Roman" w:ascii="Times New Roman" w:hAnsi="Times New Roman"/>
          <w:b/>
          <w:bCs/>
          <w:sz w:val="28"/>
          <w:szCs w:val="28"/>
        </w:rPr>
      </w:r>
    </w:p>
    <w:p>
      <w:pPr>
        <w:pStyle w:val="ListParagraph"/>
        <w:numPr>
          <w:ilvl w:val="1"/>
          <w:numId w:val="1"/>
        </w:numPr>
        <w:spacing w:lineRule="atLeast" w:line="270"/>
        <w:jc w:val="both"/>
        <w:outlineLvl w:val="2"/>
        <w:rPr>
          <w:rFonts w:ascii="Times New Roman" w:hAnsi="Times New Roman" w:cs="Times New Roman"/>
          <w:bCs/>
          <w:sz w:val="28"/>
          <w:szCs w:val="28"/>
        </w:rPr>
      </w:pPr>
      <w:r>
        <w:rPr>
          <w:rFonts w:cs="Times New Roman" w:ascii="Times New Roman" w:hAnsi="Times New Roman"/>
          <w:bCs/>
          <w:sz w:val="28"/>
          <w:szCs w:val="28"/>
        </w:rPr>
        <w:t>Анализ текущего состояния осуществления регионального геологического контроля (надзора)</w:t>
      </w:r>
    </w:p>
    <w:p>
      <w:pPr>
        <w:pStyle w:val="Normal"/>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соответствии с Федеральным законом от 31 июля 2020 года № 248-ФЗ «О государственном контроле (надзоре) и муниципальном контроле в Российской Федерации», Федеральным законом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Законом Российской Федерации от 21 февраля 1992 года № 2395-1 «О недрах» с 1 июля 2021 года за Министерством закреплен региональный государственный геологический контроль (надзор).</w:t>
      </w:r>
    </w:p>
    <w:p>
      <w:pPr>
        <w:pStyle w:val="Normal"/>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Требованиями постановления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на территории Российской Федерации установлены ограничения на проведение контрольных (надзорных) мероприятий. Отменены плановые контрольно-надзорные мероприятия, внеплановые проводятся в исключительных случаях по согласованию с органами прокуратуры, а также установлены ограничения на возбуждение дел об административном правонарушении. </w:t>
      </w:r>
      <w:r>
        <w:rPr>
          <w:rFonts w:cs="Times New Roman" w:ascii="Times New Roman" w:hAnsi="Times New Roman"/>
          <w:bCs/>
          <w:color w:val="000000" w:themeColor="text1"/>
          <w:sz w:val="28"/>
          <w:szCs w:val="28"/>
        </w:rPr>
        <w:t xml:space="preserve">В 2024г. Министерством проводились контрольные (надзорные) мероприятия </w:t>
      </w:r>
      <w:r>
        <w:rPr>
          <w:rFonts w:eastAsia="Calibri" w:cs="Times New Roman" w:ascii="Times New Roman" w:hAnsi="Times New Roman" w:eastAsiaTheme="minorHAnsi"/>
          <w:sz w:val="28"/>
          <w:szCs w:val="28"/>
          <w:lang w:eastAsia="en-US"/>
        </w:rPr>
        <w:t>без взаимодействия с контролируемым лицом в форме выездных обследований</w:t>
      </w:r>
      <w:r>
        <w:rPr>
          <w:rFonts w:cs="Times New Roman" w:ascii="Times New Roman" w:hAnsi="Times New Roman"/>
          <w:bCs/>
          <w:color w:val="000000" w:themeColor="text1"/>
          <w:sz w:val="28"/>
          <w:szCs w:val="28"/>
        </w:rPr>
        <w:t>.</w:t>
      </w:r>
    </w:p>
    <w:p>
      <w:pPr>
        <w:pStyle w:val="Normal"/>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2024 году (на 30.09.2024г.) выявлено 21</w:t>
      </w:r>
      <w:r>
        <w:rPr>
          <w:rFonts w:cs="Times New Roman" w:ascii="Times New Roman" w:hAnsi="Times New Roman"/>
          <w:sz w:val="28"/>
          <w:szCs w:val="28"/>
        </w:rPr>
        <w:t xml:space="preserve"> нарушение (выявлены в рамках контрольных (надзорных) мероприятий без взаимодействия с контролируемым лицом в форме выездных обследований) </w:t>
      </w:r>
      <w:r>
        <w:rPr>
          <w:rFonts w:cs="Times New Roman" w:ascii="Times New Roman" w:hAnsi="Times New Roman"/>
          <w:color w:val="000000" w:themeColor="text1"/>
          <w:sz w:val="28"/>
          <w:szCs w:val="28"/>
        </w:rPr>
        <w:t>в области охраны и использования недр местного значения.</w:t>
      </w:r>
    </w:p>
    <w:p>
      <w:pPr>
        <w:pStyle w:val="Normal"/>
        <w:ind w:firstLine="567"/>
        <w:jc w:val="both"/>
        <w:rPr>
          <w:rFonts w:ascii="Times New Roman" w:hAnsi="Times New Roman" w:cs="Times New Roman"/>
          <w:sz w:val="28"/>
          <w:szCs w:val="28"/>
        </w:rPr>
      </w:pPr>
      <w:r>
        <w:rPr>
          <w:rFonts w:cs="Times New Roman" w:ascii="Times New Roman" w:hAnsi="Times New Roman"/>
          <w:sz w:val="28"/>
          <w:szCs w:val="28"/>
        </w:rPr>
        <w:t>По выявленным в 2024 году Министерством нарушениям принятые меры административного воздействия отсутствуют.</w:t>
      </w:r>
    </w:p>
    <w:p>
      <w:pPr>
        <w:pStyle w:val="Normal"/>
        <w:ind w:firstLine="708"/>
        <w:jc w:val="both"/>
        <w:rPr>
          <w:rFonts w:ascii="Times New Roman" w:hAnsi="Times New Roman" w:cs="Times New Roman"/>
          <w:bCs/>
          <w:sz w:val="28"/>
          <w:szCs w:val="28"/>
        </w:rPr>
      </w:pPr>
      <w:r>
        <w:rPr>
          <w:rFonts w:cs="Times New Roman" w:ascii="Times New Roman" w:hAnsi="Times New Roman"/>
          <w:bCs/>
          <w:color w:val="000000" w:themeColor="text1"/>
          <w:sz w:val="28"/>
          <w:szCs w:val="28"/>
        </w:rPr>
        <w:t>Перечень типовых и массовых нарушений, выявленных при региональном государственной геологическом (контроле) надзоре в соответствии со статьями «Кодекса Российской Федерации об административных правонарушениях» от 30.12.2001 № 195-ФЗ (далее - КоАП РФ) представлен в таблице:</w:t>
      </w:r>
    </w:p>
    <w:tbl>
      <w:tblPr>
        <w:tblStyle w:val="a4"/>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917"/>
        <w:gridCol w:w="3643"/>
        <w:gridCol w:w="1245"/>
        <w:gridCol w:w="1260"/>
        <w:gridCol w:w="1290"/>
        <w:gridCol w:w="1990"/>
      </w:tblGrid>
      <w:tr>
        <w:trPr>
          <w:trHeight w:val="633" w:hRule="atLeast"/>
        </w:trPr>
        <w:tc>
          <w:tcPr>
            <w:tcW w:w="917" w:type="dxa"/>
            <w:vMerge w:val="restart"/>
            <w:tcBorders/>
            <w:vAlign w:val="center"/>
          </w:tcPr>
          <w:p>
            <w:pPr>
              <w:pStyle w:val="Normal"/>
              <w:widowControl w:val="false"/>
              <w:numPr>
                <w:ilvl w:val="0"/>
                <w:numId w:val="0"/>
              </w:numPr>
              <w:suppressAutoHyphens w:val="true"/>
              <w:spacing w:before="0" w:after="0"/>
              <w:ind w:left="0" w:right="0" w:hanging="0"/>
              <w:jc w:val="center"/>
              <w:outlineLvl w:val="2"/>
              <w:rPr>
                <w:rFonts w:ascii="Times New Roman" w:hAnsi="Times New Roman" w:cs="Times New Roman"/>
                <w:bCs/>
                <w:sz w:val="24"/>
                <w:szCs w:val="24"/>
              </w:rPr>
            </w:pPr>
            <w:r>
              <w:rPr>
                <w:rFonts w:cs="Times New Roman" w:ascii="Times New Roman" w:hAnsi="Times New Roman"/>
                <w:bCs/>
                <w:kern w:val="0"/>
                <w:sz w:val="24"/>
                <w:szCs w:val="24"/>
                <w:lang w:val="ru-RU" w:bidi="ar-SA"/>
              </w:rPr>
              <w:t xml:space="preserve">№ </w:t>
            </w:r>
            <w:r>
              <w:rPr>
                <w:rFonts w:cs="Times New Roman" w:ascii="Times New Roman" w:hAnsi="Times New Roman"/>
                <w:bCs/>
                <w:kern w:val="0"/>
                <w:sz w:val="24"/>
                <w:szCs w:val="24"/>
                <w:lang w:val="ru-RU" w:bidi="ar-SA"/>
              </w:rPr>
              <w:t>п/п</w:t>
            </w:r>
          </w:p>
        </w:tc>
        <w:tc>
          <w:tcPr>
            <w:tcW w:w="3643" w:type="dxa"/>
            <w:vMerge w:val="restart"/>
            <w:tcBorders/>
            <w:vAlign w:val="center"/>
          </w:tcPr>
          <w:p>
            <w:pPr>
              <w:pStyle w:val="Normal"/>
              <w:widowControl w:val="false"/>
              <w:numPr>
                <w:ilvl w:val="0"/>
                <w:numId w:val="0"/>
              </w:numPr>
              <w:suppressAutoHyphens w:val="true"/>
              <w:spacing w:before="0" w:after="0"/>
              <w:ind w:left="0" w:right="0" w:hanging="0"/>
              <w:jc w:val="center"/>
              <w:outlineLvl w:val="2"/>
              <w:rPr>
                <w:rFonts w:ascii="Times New Roman" w:hAnsi="Times New Roman" w:cs="Times New Roman"/>
                <w:bCs/>
                <w:sz w:val="24"/>
                <w:szCs w:val="24"/>
              </w:rPr>
            </w:pPr>
            <w:r>
              <w:rPr>
                <w:rFonts w:cs="Times New Roman" w:ascii="Times New Roman" w:hAnsi="Times New Roman"/>
                <w:bCs/>
                <w:kern w:val="0"/>
                <w:sz w:val="24"/>
                <w:szCs w:val="24"/>
                <w:lang w:val="ru-RU" w:bidi="ar-SA"/>
              </w:rPr>
              <w:t>Наименование статьи</w:t>
            </w:r>
          </w:p>
        </w:tc>
        <w:tc>
          <w:tcPr>
            <w:tcW w:w="5785" w:type="dxa"/>
            <w:gridSpan w:val="4"/>
            <w:tcBorders/>
            <w:vAlign w:val="center"/>
          </w:tcPr>
          <w:p>
            <w:pPr>
              <w:pStyle w:val="Normal"/>
              <w:widowControl w:val="false"/>
              <w:numPr>
                <w:ilvl w:val="0"/>
                <w:numId w:val="0"/>
              </w:numPr>
              <w:suppressAutoHyphens w:val="true"/>
              <w:spacing w:before="0" w:after="0"/>
              <w:ind w:left="0" w:right="0" w:hanging="0"/>
              <w:jc w:val="center"/>
              <w:outlineLvl w:val="2"/>
              <w:rPr>
                <w:rFonts w:ascii="Times New Roman" w:hAnsi="Times New Roman" w:cs="Times New Roman"/>
                <w:bCs/>
                <w:sz w:val="24"/>
                <w:szCs w:val="24"/>
              </w:rPr>
            </w:pPr>
            <w:r>
              <w:rPr>
                <w:rFonts w:cs="Times New Roman" w:ascii="Times New Roman" w:hAnsi="Times New Roman"/>
                <w:bCs/>
                <w:kern w:val="0"/>
                <w:sz w:val="24"/>
                <w:szCs w:val="24"/>
                <w:lang w:val="ru-RU" w:bidi="ar-SA"/>
              </w:rPr>
              <w:t xml:space="preserve">Количество выявленных нарушений, ед. </w:t>
            </w:r>
          </w:p>
        </w:tc>
      </w:tr>
      <w:tr>
        <w:trPr>
          <w:trHeight w:val="633" w:hRule="atLeast"/>
        </w:trPr>
        <w:tc>
          <w:tcPr>
            <w:tcW w:w="917" w:type="dxa"/>
            <w:vMerge w:val="continue"/>
            <w:tcBorders/>
            <w:vAlign w:val="center"/>
          </w:tcPr>
          <w:p>
            <w:pPr>
              <w:pStyle w:val="Normal"/>
              <w:widowControl w:val="false"/>
              <w:numPr>
                <w:ilvl w:val="0"/>
                <w:numId w:val="0"/>
              </w:numPr>
              <w:suppressAutoHyphens w:val="true"/>
              <w:spacing w:before="0" w:after="0"/>
              <w:ind w:left="0" w:right="0" w:hanging="0"/>
              <w:jc w:val="center"/>
              <w:outlineLvl w:val="2"/>
              <w:rPr>
                <w:rFonts w:ascii="Times New Roman" w:hAnsi="Times New Roman" w:cs="Times New Roman"/>
                <w:bCs/>
                <w:sz w:val="24"/>
                <w:szCs w:val="24"/>
              </w:rPr>
            </w:pPr>
            <w:r>
              <w:rPr>
                <w:rFonts w:cs="Times New Roman" w:ascii="Times New Roman" w:hAnsi="Times New Roman"/>
                <w:bCs/>
                <w:sz w:val="24"/>
                <w:szCs w:val="24"/>
              </w:rPr>
            </w:r>
          </w:p>
        </w:tc>
        <w:tc>
          <w:tcPr>
            <w:tcW w:w="3643" w:type="dxa"/>
            <w:vMerge w:val="continue"/>
            <w:tcBorders/>
            <w:vAlign w:val="center"/>
          </w:tcPr>
          <w:p>
            <w:pPr>
              <w:pStyle w:val="Normal"/>
              <w:widowControl w:val="false"/>
              <w:numPr>
                <w:ilvl w:val="0"/>
                <w:numId w:val="0"/>
              </w:numPr>
              <w:suppressAutoHyphens w:val="true"/>
              <w:spacing w:before="0" w:after="0"/>
              <w:ind w:left="0" w:right="0" w:hanging="0"/>
              <w:jc w:val="center"/>
              <w:outlineLvl w:val="2"/>
              <w:rPr>
                <w:rFonts w:ascii="Times New Roman" w:hAnsi="Times New Roman" w:cs="Times New Roman"/>
                <w:bCs/>
                <w:sz w:val="24"/>
                <w:szCs w:val="24"/>
              </w:rPr>
            </w:pPr>
            <w:r>
              <w:rPr>
                <w:rFonts w:cs="Times New Roman" w:ascii="Times New Roman" w:hAnsi="Times New Roman"/>
                <w:bCs/>
                <w:sz w:val="24"/>
                <w:szCs w:val="24"/>
              </w:rPr>
            </w:r>
          </w:p>
        </w:tc>
        <w:tc>
          <w:tcPr>
            <w:tcW w:w="1245" w:type="dxa"/>
            <w:tcBorders/>
            <w:vAlign w:val="center"/>
          </w:tcPr>
          <w:p>
            <w:pPr>
              <w:pStyle w:val="Normal"/>
              <w:widowControl w:val="false"/>
              <w:numPr>
                <w:ilvl w:val="0"/>
                <w:numId w:val="0"/>
              </w:numPr>
              <w:suppressAutoHyphens w:val="true"/>
              <w:spacing w:before="0" w:after="0"/>
              <w:ind w:left="0" w:right="0" w:hanging="0"/>
              <w:jc w:val="center"/>
              <w:outlineLvl w:val="2"/>
              <w:rPr>
                <w:rFonts w:ascii="Times New Roman" w:hAnsi="Times New Roman" w:cs="Times New Roman"/>
                <w:bCs/>
                <w:sz w:val="24"/>
                <w:szCs w:val="24"/>
              </w:rPr>
            </w:pPr>
            <w:r>
              <w:rPr>
                <w:rFonts w:cs="Times New Roman" w:ascii="Times New Roman" w:hAnsi="Times New Roman"/>
                <w:bCs/>
                <w:kern w:val="0"/>
                <w:sz w:val="24"/>
                <w:szCs w:val="24"/>
                <w:lang w:val="ru-RU" w:bidi="ar-SA"/>
              </w:rPr>
              <w:t>2021</w:t>
            </w:r>
          </w:p>
        </w:tc>
        <w:tc>
          <w:tcPr>
            <w:tcW w:w="1260" w:type="dxa"/>
            <w:tcBorders/>
            <w:vAlign w:val="center"/>
          </w:tcPr>
          <w:p>
            <w:pPr>
              <w:pStyle w:val="Normal"/>
              <w:widowControl w:val="false"/>
              <w:numPr>
                <w:ilvl w:val="0"/>
                <w:numId w:val="0"/>
              </w:numPr>
              <w:suppressAutoHyphens w:val="true"/>
              <w:spacing w:before="0" w:after="0"/>
              <w:ind w:left="0" w:right="0" w:hanging="0"/>
              <w:jc w:val="center"/>
              <w:outlineLvl w:val="2"/>
              <w:rPr>
                <w:rFonts w:ascii="Times New Roman" w:hAnsi="Times New Roman" w:cs="Times New Roman"/>
                <w:bCs/>
                <w:sz w:val="24"/>
                <w:szCs w:val="24"/>
              </w:rPr>
            </w:pPr>
            <w:r>
              <w:rPr>
                <w:rFonts w:cs="Times New Roman" w:ascii="Times New Roman" w:hAnsi="Times New Roman"/>
                <w:bCs/>
                <w:kern w:val="0"/>
                <w:sz w:val="24"/>
                <w:szCs w:val="24"/>
                <w:lang w:val="ru-RU" w:bidi="ar-SA"/>
              </w:rPr>
              <w:t>2022</w:t>
            </w:r>
          </w:p>
        </w:tc>
        <w:tc>
          <w:tcPr>
            <w:tcW w:w="1290" w:type="dxa"/>
            <w:tcBorders>
              <w:right w:val="nil"/>
            </w:tcBorders>
            <w:vAlign w:val="center"/>
          </w:tcPr>
          <w:p>
            <w:pPr>
              <w:pStyle w:val="Normal"/>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bCs/>
                <w:kern w:val="0"/>
                <w:sz w:val="24"/>
                <w:szCs w:val="24"/>
                <w:lang w:val="ru-RU" w:eastAsia="ru-RU" w:bidi="ar-SA"/>
              </w:rPr>
            </w:pPr>
            <w:r>
              <w:rPr>
                <w:rFonts w:eastAsia="Times New Roman" w:cs="Times New Roman" w:ascii="Times New Roman" w:hAnsi="Times New Roman"/>
                <w:bCs/>
                <w:kern w:val="0"/>
                <w:sz w:val="24"/>
                <w:szCs w:val="24"/>
                <w:lang w:val="ru-RU" w:eastAsia="ru-RU" w:bidi="ar-SA"/>
              </w:rPr>
              <w:t>2023</w:t>
            </w:r>
          </w:p>
        </w:tc>
        <w:tc>
          <w:tcPr>
            <w:tcW w:w="1990" w:type="dxa"/>
            <w:tcBorders/>
            <w:vAlign w:val="center"/>
          </w:tcPr>
          <w:p>
            <w:pPr>
              <w:pStyle w:val="Normal"/>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bCs/>
                <w:kern w:val="0"/>
                <w:sz w:val="24"/>
                <w:szCs w:val="24"/>
                <w:lang w:val="ru-RU" w:eastAsia="ru-RU" w:bidi="ar-SA"/>
              </w:rPr>
            </w:pPr>
            <w:r>
              <w:rPr>
                <w:rFonts w:eastAsia="Times New Roman" w:cs="Times New Roman" w:ascii="Times New Roman" w:hAnsi="Times New Roman"/>
                <w:bCs/>
                <w:kern w:val="0"/>
                <w:sz w:val="24"/>
                <w:szCs w:val="24"/>
                <w:lang w:val="ru-RU" w:eastAsia="ru-RU" w:bidi="ar-SA"/>
              </w:rPr>
              <w:t>2024**</w:t>
            </w:r>
          </w:p>
          <w:p>
            <w:pPr>
              <w:pStyle w:val="Normal"/>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bCs/>
                <w:i/>
                <w:i/>
                <w:iCs/>
                <w:kern w:val="0"/>
                <w:sz w:val="20"/>
                <w:szCs w:val="20"/>
                <w:lang w:val="ru-RU" w:eastAsia="ru-RU" w:bidi="ar-SA"/>
              </w:rPr>
            </w:pPr>
            <w:r>
              <w:rPr>
                <w:rFonts w:eastAsia="Times New Roman" w:cs="Times New Roman" w:ascii="Times New Roman" w:hAnsi="Times New Roman"/>
                <w:bCs/>
                <w:i/>
                <w:iCs/>
                <w:kern w:val="0"/>
                <w:sz w:val="20"/>
                <w:szCs w:val="20"/>
                <w:lang w:val="ru-RU" w:eastAsia="ru-RU" w:bidi="ar-SA"/>
              </w:rPr>
              <w:t>(на 30.09.2024)</w:t>
            </w:r>
          </w:p>
        </w:tc>
      </w:tr>
      <w:tr>
        <w:trPr/>
        <w:tc>
          <w:tcPr>
            <w:tcW w:w="917" w:type="dxa"/>
            <w:tcBorders/>
            <w:vAlign w:val="center"/>
          </w:tcPr>
          <w:p>
            <w:pPr>
              <w:pStyle w:val="Normal"/>
              <w:widowControl w:val="false"/>
              <w:suppressAutoHyphens w:val="true"/>
              <w:spacing w:before="0" w:after="0"/>
              <w:jc w:val="right"/>
              <w:rPr>
                <w:rFonts w:ascii="Times New Roman" w:hAnsi="Times New Roman" w:cs="Times New Roman"/>
                <w:sz w:val="24"/>
                <w:szCs w:val="24"/>
              </w:rPr>
            </w:pPr>
            <w:r>
              <w:rPr>
                <w:rFonts w:cs="Times New Roman" w:ascii="Times New Roman" w:hAnsi="Times New Roman"/>
                <w:kern w:val="0"/>
                <w:sz w:val="24"/>
                <w:szCs w:val="24"/>
                <w:lang w:val="ru-RU" w:bidi="ar-SA"/>
              </w:rPr>
              <w:t>ст. 7.3 ч.2</w:t>
            </w:r>
          </w:p>
        </w:tc>
        <w:tc>
          <w:tcPr>
            <w:tcW w:w="3643" w:type="dxa"/>
            <w:tcBorders/>
            <w:vAlign w:val="center"/>
          </w:tcPr>
          <w:p>
            <w:pPr>
              <w:pStyle w:val="Normal"/>
              <w:widowControl w:val="false"/>
              <w:numPr>
                <w:ilvl w:val="0"/>
                <w:numId w:val="0"/>
              </w:numPr>
              <w:suppressAutoHyphens w:val="true"/>
              <w:spacing w:before="0" w:after="0"/>
              <w:ind w:left="0" w:right="0" w:hanging="0"/>
              <w:jc w:val="both"/>
              <w:outlineLvl w:val="0"/>
              <w:rPr>
                <w:rFonts w:ascii="Times New Roman" w:hAnsi="Times New Roman" w:eastAsia="Calibri" w:cs="Times New Roman" w:eastAsiaTheme="minorHAnsi"/>
                <w:bCs/>
                <w:sz w:val="24"/>
                <w:szCs w:val="24"/>
                <w:lang w:eastAsia="en-US"/>
              </w:rPr>
            </w:pPr>
            <w:r>
              <w:rPr>
                <w:rFonts w:eastAsia="Calibri" w:cs="Times New Roman" w:ascii="Times New Roman" w:hAnsi="Times New Roman" w:eastAsiaTheme="minorHAnsi"/>
                <w:bCs/>
                <w:kern w:val="0"/>
                <w:sz w:val="24"/>
                <w:szCs w:val="24"/>
                <w:lang w:val="ru-RU" w:eastAsia="en-US" w:bidi="ar-SA"/>
              </w:rPr>
              <w:t>Нарушение условий, предусмотренных лицензией на пользование недрами, и (или) требований утвержденных в установленном порядке технических проектов</w:t>
            </w:r>
          </w:p>
        </w:tc>
        <w:tc>
          <w:tcPr>
            <w:tcW w:w="1245" w:type="dxa"/>
            <w:tcBorders/>
            <w:vAlign w:val="center"/>
          </w:tcPr>
          <w:p>
            <w:pPr>
              <w:pStyle w:val="Normal"/>
              <w:widowControl w:val="false"/>
              <w:suppressAutoHyphens w:val="tru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136</w:t>
            </w:r>
          </w:p>
        </w:tc>
        <w:tc>
          <w:tcPr>
            <w:tcW w:w="1260" w:type="dxa"/>
            <w:tcBorders/>
            <w:vAlign w:val="center"/>
          </w:tcPr>
          <w:p>
            <w:pPr>
              <w:pStyle w:val="Normal"/>
              <w:widowControl w:val="false"/>
              <w:suppressAutoHyphens w:val="tru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153</w:t>
            </w:r>
          </w:p>
        </w:tc>
        <w:tc>
          <w:tcPr>
            <w:tcW w:w="1290" w:type="dxa"/>
            <w:tcBorders>
              <w:right w:val="nil"/>
            </w:tcBorders>
            <w:vAlign w:val="center"/>
          </w:tcPr>
          <w:p>
            <w:pPr>
              <w:pStyle w:val="Normal"/>
              <w:widowControl w:val="false"/>
              <w:suppressAutoHyphens w:val="tru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146</w:t>
            </w:r>
          </w:p>
        </w:tc>
        <w:tc>
          <w:tcPr>
            <w:tcW w:w="1990" w:type="dxa"/>
            <w:tcBorders/>
            <w:vAlign w:val="center"/>
          </w:tcPr>
          <w:p>
            <w:pPr>
              <w:pStyle w:val="Normal"/>
              <w:widowControl w:val="false"/>
              <w:suppressAutoHyphens w:val="tru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9</w:t>
            </w:r>
          </w:p>
        </w:tc>
      </w:tr>
      <w:tr>
        <w:trPr/>
        <w:tc>
          <w:tcPr>
            <w:tcW w:w="917" w:type="dxa"/>
            <w:tcBorders/>
            <w:vAlign w:val="center"/>
          </w:tcPr>
          <w:p>
            <w:pPr>
              <w:pStyle w:val="Normal"/>
              <w:widowControl w:val="false"/>
              <w:suppressAutoHyphens w:val="true"/>
              <w:spacing w:before="0" w:after="0"/>
              <w:jc w:val="right"/>
              <w:rPr>
                <w:rFonts w:ascii="Times New Roman" w:hAnsi="Times New Roman" w:cs="Times New Roman"/>
                <w:sz w:val="24"/>
                <w:szCs w:val="24"/>
              </w:rPr>
            </w:pPr>
            <w:r>
              <w:rPr>
                <w:rFonts w:cs="Times New Roman" w:ascii="Times New Roman" w:hAnsi="Times New Roman"/>
                <w:kern w:val="0"/>
                <w:sz w:val="24"/>
                <w:szCs w:val="24"/>
                <w:lang w:val="ru-RU" w:bidi="ar-SA"/>
              </w:rPr>
              <w:t>ст. 7.3 ч.1</w:t>
            </w:r>
          </w:p>
        </w:tc>
        <w:tc>
          <w:tcPr>
            <w:tcW w:w="3643" w:type="dxa"/>
            <w:tcBorders/>
            <w:vAlign w:val="center"/>
          </w:tcPr>
          <w:p>
            <w:pPr>
              <w:pStyle w:val="Normal"/>
              <w:widowControl w:val="false"/>
              <w:numPr>
                <w:ilvl w:val="0"/>
                <w:numId w:val="0"/>
              </w:numPr>
              <w:suppressAutoHyphens w:val="true"/>
              <w:spacing w:before="0" w:after="0"/>
              <w:ind w:left="0" w:right="0" w:hanging="0"/>
              <w:jc w:val="both"/>
              <w:outlineLvl w:val="0"/>
              <w:rPr>
                <w:rFonts w:ascii="Times New Roman" w:hAnsi="Times New Roman" w:eastAsia="Calibri" w:cs="Times New Roman" w:eastAsiaTheme="minorHAnsi"/>
                <w:bCs/>
                <w:sz w:val="24"/>
                <w:szCs w:val="24"/>
                <w:lang w:eastAsia="en-US"/>
              </w:rPr>
            </w:pPr>
            <w:r>
              <w:rPr>
                <w:rFonts w:eastAsia="Calibri" w:cs="Times New Roman" w:ascii="Times New Roman" w:hAnsi="Times New Roman" w:eastAsiaTheme="minorHAnsi"/>
                <w:bCs/>
                <w:kern w:val="0"/>
                <w:sz w:val="24"/>
                <w:szCs w:val="24"/>
                <w:lang w:val="ru-RU" w:eastAsia="en-US" w:bidi="ar-SA"/>
              </w:rPr>
              <w:t>Пользование недрами без лицензии на пользование недрами</w:t>
            </w:r>
          </w:p>
        </w:tc>
        <w:tc>
          <w:tcPr>
            <w:tcW w:w="1245" w:type="dxa"/>
            <w:tcBorders/>
            <w:vAlign w:val="center"/>
          </w:tcPr>
          <w:p>
            <w:pPr>
              <w:pStyle w:val="Normal"/>
              <w:widowControl w:val="false"/>
              <w:suppressAutoHyphens w:val="tru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49</w:t>
            </w:r>
          </w:p>
        </w:tc>
        <w:tc>
          <w:tcPr>
            <w:tcW w:w="1260" w:type="dxa"/>
            <w:tcBorders/>
            <w:vAlign w:val="center"/>
          </w:tcPr>
          <w:p>
            <w:pPr>
              <w:pStyle w:val="Normal"/>
              <w:widowControl w:val="false"/>
              <w:suppressAutoHyphens w:val="tru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31</w:t>
            </w:r>
          </w:p>
        </w:tc>
        <w:tc>
          <w:tcPr>
            <w:tcW w:w="1290" w:type="dxa"/>
            <w:tcBorders>
              <w:right w:val="nil"/>
            </w:tcBorders>
            <w:vAlign w:val="center"/>
          </w:tcPr>
          <w:p>
            <w:pPr>
              <w:pStyle w:val="Normal"/>
              <w:widowControl w:val="false"/>
              <w:suppressAutoHyphens w:val="tru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22</w:t>
            </w:r>
          </w:p>
        </w:tc>
        <w:tc>
          <w:tcPr>
            <w:tcW w:w="1990" w:type="dxa"/>
            <w:tcBorders/>
            <w:vAlign w:val="center"/>
          </w:tcPr>
          <w:p>
            <w:pPr>
              <w:pStyle w:val="Normal"/>
              <w:widowControl w:val="false"/>
              <w:suppressAutoHyphens w:val="tru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ru-RU" w:bidi="ar-SA"/>
              </w:rPr>
              <w:t>12</w:t>
            </w:r>
          </w:p>
        </w:tc>
      </w:tr>
    </w:tbl>
    <w:p>
      <w:pPr>
        <w:pStyle w:val="Normal"/>
        <w:jc w:val="both"/>
        <w:rPr>
          <w:rFonts w:ascii="Times New Roman" w:hAnsi="Times New Roman" w:cs="Times New Roman"/>
        </w:rPr>
      </w:pPr>
      <w:r>
        <w:rPr>
          <w:rFonts w:cs="Times New Roman" w:ascii="Times New Roman" w:hAnsi="Times New Roman"/>
        </w:rPr>
        <w:t>** – нарушения выявлены в рамках контрольных (надзорных) мероприятий без взаимодействия с контролируемым лицом в форме выездных обследований.</w:t>
      </w:r>
    </w:p>
    <w:p>
      <w:pPr>
        <w:pStyle w:val="Normal"/>
        <w:numPr>
          <w:ilvl w:val="0"/>
          <w:numId w:val="0"/>
        </w:numPr>
        <w:ind w:left="0" w:firstLine="708"/>
        <w:jc w:val="both"/>
        <w:outlineLvl w:val="2"/>
        <w:rPr>
          <w:rFonts w:ascii="Times New Roman" w:hAnsi="Times New Roman" w:cs="Times New Roman"/>
          <w:bCs/>
          <w:sz w:val="28"/>
          <w:szCs w:val="28"/>
        </w:rPr>
      </w:pPr>
      <w:r>
        <w:rPr>
          <w:rFonts w:cs="Times New Roman" w:ascii="Times New Roman" w:hAnsi="Times New Roman"/>
          <w:bCs/>
          <w:sz w:val="28"/>
          <w:szCs w:val="28"/>
        </w:rPr>
      </w:r>
    </w:p>
    <w:p>
      <w:pPr>
        <w:pStyle w:val="ListParagraph"/>
        <w:numPr>
          <w:ilvl w:val="1"/>
          <w:numId w:val="1"/>
        </w:numPr>
        <w:jc w:val="both"/>
        <w:outlineLvl w:val="2"/>
        <w:rPr>
          <w:rFonts w:ascii="Times New Roman" w:hAnsi="Times New Roman" w:cs="Times New Roman"/>
          <w:bCs/>
          <w:sz w:val="28"/>
          <w:szCs w:val="28"/>
        </w:rPr>
      </w:pPr>
      <w:r>
        <w:rPr>
          <w:rFonts w:cs="Times New Roman" w:ascii="Times New Roman" w:hAnsi="Times New Roman"/>
          <w:bCs/>
          <w:sz w:val="28"/>
          <w:szCs w:val="28"/>
        </w:rPr>
        <w:t>Описание текущего развития профилактической деятельности Министерства, характеристика проблем, на решение которых направлена программа профилактики</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 xml:space="preserve">Министерством региональный государственный геологический контроль (надзор) осуществляется с применением риск-ориентированного подхода. Учет подконтрольных региональных объектов, оказывающих негативное воздействие на окружающую среду, осуществляется путем постановки их в государственный реестр объектов и присвоения объектам соответствующих категорий объекта (1-4 категория).  </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Производственные объекты, используемые юридическими лицами и индивидуальными предпринимателями, оказывающие негативное воздействие на окружающую среду, относятся к определенной категории риска:</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а) к категории среднего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умеренное негативное воздействие на окружающую среду, к объектам II категории;</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б) к категории умеренного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незначительное негативное воздействие на окружающую среду, к объектам III категории;</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в) к категории низкого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минимальное негативное воздействие на окружающую среду, к объектам IV категории.</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Учитывая установившиеся особенности проведения контрольных (надзорных) мероприятий в 2024 году, Министерством усилена работа, направленная на профилактику рисков причинения вреда(ущерба) окружающей среде.</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 xml:space="preserve">Министерство при проведении профилактических мероприятий осуществляет взаимодействие с юридическими лицами, индивидуальными предпринимателями только в случаях, установленных Федеральным законом от 31.07.2020 № 248-ФЗ «О государственном контроле (надзоре) и муниципальном контроле в Российской Федерации». </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 xml:space="preserve">Должностные лица Министерства, уполномоченные на осуществление геологического надзора, осуществляют информирование контролируемых лиц и иных заинтересованных лиц по вопросам соблюдения обязательных требований </w:t>
      </w:r>
      <w:hyperlink r:id="rId2">
        <w:r>
          <w:rPr>
            <w:rStyle w:val="-"/>
            <w:rFonts w:cs="Times New Roman" w:ascii="Times New Roman" w:hAnsi="Times New Roman"/>
            <w:bCs/>
            <w:sz w:val="28"/>
            <w:szCs w:val="28"/>
          </w:rPr>
          <w:t>https://eco.tatarstan.ru/rus/file/pub/pub_3029301.pdf</w:t>
        </w:r>
      </w:hyperlink>
      <w:r>
        <w:rPr>
          <w:rFonts w:cs="Times New Roman" w:ascii="Times New Roman" w:hAnsi="Times New Roman"/>
          <w:bCs/>
          <w:sz w:val="28"/>
          <w:szCs w:val="28"/>
        </w:rPr>
        <w:t>.</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Разработано, утверждено и размещено на официальном сайте Министерства руководство по соблюдению обязательных требований, выполнение которого оценивается в ходе проведения мероприятий по осуществлению регионального государственного геологического контроля (надзора).</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По итогам обобщения правоприменительной практики Министерством, в соответствии с п.3.4 «Положения о региональном государственном геологическом контроле (надзоре)», утвержденным постановлением Кабинета Министров Республики Татарстан от 30.09.2021 №940, подготовлен, утвержден и размещен до 1 апреля на официальном сайте Министерства в разделе «Государственный геологический надзор» «Доклад о правоприменительной практике по итогам осуществления регионального государственного геологического контроля (надзора) за 2023 г.»</w:t>
      </w:r>
      <w:r>
        <w:rPr>
          <w:rStyle w:val="-"/>
          <w:rFonts w:cs="Times New Roman" w:ascii="Times New Roman" w:hAnsi="Times New Roman"/>
          <w:bCs/>
          <w:sz w:val="28"/>
          <w:szCs w:val="28"/>
        </w:rPr>
        <w:t xml:space="preserve"> https://eco.tatarstan.ru/file/pub/pub_4120161.pdf</w:t>
      </w:r>
      <w:r>
        <w:rPr>
          <w:rFonts w:cs="Times New Roman" w:ascii="Times New Roman" w:hAnsi="Times New Roman"/>
          <w:bCs/>
          <w:sz w:val="28"/>
          <w:szCs w:val="28"/>
        </w:rPr>
        <w:t>.</w:t>
      </w:r>
    </w:p>
    <w:p>
      <w:pPr>
        <w:pStyle w:val="Normal"/>
        <w:numPr>
          <w:ilvl w:val="0"/>
          <w:numId w:val="0"/>
        </w:numPr>
        <w:ind w:left="0" w:firstLine="567"/>
        <w:jc w:val="both"/>
        <w:outlineLvl w:val="2"/>
        <w:rPr>
          <w:rFonts w:ascii="Times New Roman" w:hAnsi="Times New Roman" w:cs="Times New Roman"/>
          <w:bCs/>
          <w:color w:val="000000" w:themeColor="text1"/>
          <w:sz w:val="28"/>
          <w:szCs w:val="28"/>
        </w:rPr>
      </w:pPr>
      <w:r>
        <w:rPr>
          <w:rFonts w:cs="Times New Roman" w:ascii="Times New Roman" w:hAnsi="Times New Roman"/>
          <w:bCs/>
          <w:sz w:val="28"/>
          <w:szCs w:val="28"/>
        </w:rPr>
        <w:t xml:space="preserve">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Министерством объявлялись юридическим лицам, индивидуальным предпринимателям </w:t>
      </w:r>
      <w:r>
        <w:rPr>
          <w:rFonts w:cs="Times New Roman" w:ascii="Times New Roman" w:hAnsi="Times New Roman"/>
          <w:bCs/>
          <w:color w:val="000000" w:themeColor="text1"/>
          <w:sz w:val="28"/>
          <w:szCs w:val="28"/>
        </w:rPr>
        <w:t>предостережения о недопустимости нарушения обязательных требований и принятия мер по обеспечению соблюдения обязательных требований. На 30.09.2024г. направлено 36 предостережений о недопустимости нарушения обязательных требований.</w:t>
      </w:r>
    </w:p>
    <w:p>
      <w:pPr>
        <w:pStyle w:val="Normal"/>
        <w:ind w:firstLine="709"/>
        <w:jc w:val="both"/>
        <w:rPr>
          <w:rFonts w:ascii="Times New Roman" w:hAnsi="Times New Roman" w:cs="Times New Roman"/>
          <w:sz w:val="28"/>
          <w:szCs w:val="28"/>
        </w:rPr>
      </w:pPr>
      <w:r>
        <w:rPr>
          <w:rFonts w:cs="Times New Roman" w:ascii="Times New Roman" w:hAnsi="Times New Roman"/>
          <w:bCs/>
          <w:sz w:val="28"/>
          <w:szCs w:val="28"/>
        </w:rPr>
        <w:t xml:space="preserve">Должностными лицами Министерства по обращениям, поступающим в адрес Министерства осуществлялось консультирование по вопросам, связанным с исполнением юридическими лицами и индивидуальными предпринимателями обязательных требований в области охраны и использования недр местного значения, установленных федеральными законами в области охраны и использования недр и принимаемыми в соответствии с ними иными нормативными правовыми актами Российской Федерации, Республики Татарстан, а также требований, содержащихся в лицензиях на пользование недрами и иных разрешительных документах. Консультирование осуществлялось по телефону, на личном приеме либо в ходе проведения Министерством профилактического мероприятия. На 30.09.2024г. Министерством </w:t>
      </w:r>
      <w:r>
        <w:rPr>
          <w:rFonts w:cs="Times New Roman" w:ascii="Times New Roman" w:hAnsi="Times New Roman"/>
          <w:sz w:val="28"/>
          <w:szCs w:val="28"/>
        </w:rPr>
        <w:t>проведено 27</w:t>
      </w:r>
      <w:r>
        <w:rPr>
          <w:rFonts w:cs="Times New Roman" w:ascii="Times New Roman" w:hAnsi="Times New Roman"/>
          <w:sz w:val="28"/>
          <w:szCs w:val="28"/>
          <w:shd w:fill="auto" w:val="clear"/>
        </w:rPr>
        <w:t> консультаций.</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Систематически проводятся профилактические (публичные) мероприятия для природопользователей по изменениям природоохранного законодательства, требованиям в области охраны окружающей среды. Итоги проведенных профилактических мероприятий размещены на сайте Министерства. В 2024г. проведены следующие профилактические (публичные) мероприятия:</w:t>
      </w:r>
    </w:p>
    <w:p>
      <w:pPr>
        <w:pStyle w:val="Normal"/>
        <w:ind w:firstLine="567"/>
        <w:jc w:val="both"/>
        <w:rPr>
          <w:rFonts w:ascii="Times New Roman" w:hAnsi="Times New Roman" w:cs="Times New Roman"/>
          <w:bCs/>
          <w:sz w:val="28"/>
          <w:szCs w:val="28"/>
        </w:rPr>
      </w:pPr>
      <w:r>
        <w:rPr>
          <w:rFonts w:cs="Times New Roman" w:ascii="Times New Roman" w:hAnsi="Times New Roman"/>
          <w:bCs/>
          <w:sz w:val="28"/>
          <w:szCs w:val="28"/>
        </w:rPr>
        <w:t>- 12-15 марта на тему: «Об итогах работы Министерства экологии и природных ресурсов Республики Татарстан при осуществлении регионального государственного экологического контроля (надзора) и регионального государственного геологического контроля (надзора)» за 2023 год и задачах на 2024 год»;</w:t>
      </w:r>
    </w:p>
    <w:p>
      <w:pPr>
        <w:pStyle w:val="Normal"/>
        <w:ind w:firstLine="567"/>
        <w:jc w:val="both"/>
        <w:rPr>
          <w:rFonts w:ascii="Times New Roman" w:hAnsi="Times New Roman" w:cs="Times New Roman"/>
          <w:bCs/>
          <w:sz w:val="28"/>
          <w:szCs w:val="28"/>
        </w:rPr>
      </w:pPr>
      <w:r>
        <w:rPr>
          <w:rFonts w:cs="Times New Roman" w:ascii="Times New Roman" w:hAnsi="Times New Roman"/>
          <w:bCs/>
          <w:sz w:val="28"/>
          <w:szCs w:val="28"/>
        </w:rPr>
        <w:t>- в период с 22 июля по 9 августа на тему: «Оформление разрешительной документации для пользования подземными и поверхностными водами».</w:t>
      </w:r>
    </w:p>
    <w:p>
      <w:pPr>
        <w:pStyle w:val="Normal"/>
        <w:numPr>
          <w:ilvl w:val="0"/>
          <w:numId w:val="0"/>
        </w:numPr>
        <w:ind w:left="0" w:firstLine="567"/>
        <w:jc w:val="both"/>
        <w:outlineLvl w:val="2"/>
        <w:rPr>
          <w:rFonts w:ascii="Times New Roman" w:hAnsi="Times New Roman" w:cs="Times New Roman"/>
          <w:bCs/>
          <w:color w:val="000000" w:themeColor="text1"/>
          <w:sz w:val="28"/>
          <w:szCs w:val="28"/>
        </w:rPr>
      </w:pPr>
      <w:r>
        <w:rPr>
          <w:rFonts w:cs="Times New Roman" w:ascii="Times New Roman" w:hAnsi="Times New Roman"/>
          <w:bCs/>
          <w:sz w:val="28"/>
          <w:szCs w:val="28"/>
        </w:rPr>
        <w:t>Государственными инспекторами Министерства проводятся профилактические визиты в форме профилактической беседы по месту осуществления деятельности юридических лиц и индивидуальных предпринимателей. На 30.09.</w:t>
      </w:r>
      <w:r>
        <w:rPr>
          <w:rFonts w:cs="Times New Roman" w:ascii="Times New Roman" w:hAnsi="Times New Roman"/>
          <w:bCs/>
          <w:color w:val="000000" w:themeColor="text1"/>
          <w:sz w:val="28"/>
          <w:szCs w:val="28"/>
        </w:rPr>
        <w:t>2024 г. проведено 13 </w:t>
      </w:r>
      <w:r>
        <w:rPr>
          <w:rFonts w:cs="Times New Roman" w:ascii="Times New Roman" w:hAnsi="Times New Roman"/>
          <w:bCs/>
          <w:color w:val="000000" w:themeColor="text1"/>
          <w:sz w:val="28"/>
          <w:szCs w:val="28"/>
          <w:shd w:fill="auto" w:val="clear"/>
        </w:rPr>
        <w:t>профилактических визитов.</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Программа профилактики направлена на снижение количества фактов безлицензионной добычи общераспространенных полезных ископаемых на участках недр местного значения на территории Республики Татарстан за счет сокращения количества выявляемых нарушений обязательных требований в области охраны и использования недр местного значения, увеличения доли профилактических мероприятий в общем объеме контрольно-надзорной деятельности.</w:t>
      </w:r>
    </w:p>
    <w:p>
      <w:pPr>
        <w:pStyle w:val="Normal"/>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r>
    </w:p>
    <w:p>
      <w:pPr>
        <w:pStyle w:val="Normal"/>
        <w:numPr>
          <w:ilvl w:val="0"/>
          <w:numId w:val="0"/>
        </w:numPr>
        <w:ind w:left="0" w:hanging="0"/>
        <w:jc w:val="both"/>
        <w:outlineLvl w:val="2"/>
        <w:rPr>
          <w:rFonts w:ascii="Times New Roman" w:hAnsi="Times New Roman" w:cs="Times New Roman"/>
          <w:b/>
          <w:bCs/>
          <w:sz w:val="28"/>
          <w:szCs w:val="28"/>
        </w:rPr>
      </w:pPr>
      <w:r>
        <w:rPr>
          <w:rFonts w:cs="Times New Roman" w:ascii="Times New Roman" w:hAnsi="Times New Roman"/>
          <w:b/>
          <w:bCs/>
          <w:sz w:val="28"/>
          <w:szCs w:val="28"/>
        </w:rPr>
        <w:t>Раздел 2. Цели и задачи реализации программы профилактики</w:t>
      </w:r>
    </w:p>
    <w:p>
      <w:pPr>
        <w:pStyle w:val="ListParagraph"/>
        <w:numPr>
          <w:ilvl w:val="0"/>
          <w:numId w:val="0"/>
        </w:numPr>
        <w:ind w:left="0" w:firstLine="720"/>
        <w:jc w:val="both"/>
        <w:outlineLvl w:val="2"/>
        <w:rPr>
          <w:rFonts w:ascii="Times New Roman" w:hAnsi="Times New Roman" w:cs="Times New Roman"/>
          <w:bCs/>
          <w:sz w:val="28"/>
          <w:szCs w:val="28"/>
        </w:rPr>
      </w:pPr>
      <w:r>
        <w:rPr>
          <w:rFonts w:cs="Times New Roman" w:ascii="Times New Roman" w:hAnsi="Times New Roman"/>
          <w:bCs/>
          <w:sz w:val="28"/>
          <w:szCs w:val="28"/>
        </w:rPr>
        <w:t>Профилактика рисков причинения вреда (ущерба) недрам местного значения на территории Республики Татарстан направлена на достижение следующих основных целей:</w:t>
      </w:r>
    </w:p>
    <w:p>
      <w:pPr>
        <w:pStyle w:val="ListParagraph"/>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 стимулирование добросовестного соблюдения обязательных требований юридическими лицами и индивидуальными предпринимателями в области охраны и использования недр местного значения;</w:t>
      </w:r>
    </w:p>
    <w:p>
      <w:pPr>
        <w:pStyle w:val="ListParagraph"/>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 устранение условий, причин и факторов, способных привести к нарушениям обязательных требований и (или) причинению вреда (ущерба) недрам местного значения;</w:t>
      </w:r>
    </w:p>
    <w:p>
      <w:pPr>
        <w:pStyle w:val="ListParagraph"/>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 создание условий для доведения обязательных требований до юридических лиц и индивидуальных предпринимателей, осуществляющих пользование недрами местного значения;</w:t>
      </w:r>
    </w:p>
    <w:p>
      <w:pPr>
        <w:pStyle w:val="ListParagraph"/>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t>- иные цели.</w:t>
      </w:r>
    </w:p>
    <w:p>
      <w:pPr>
        <w:pStyle w:val="ListParagraph"/>
        <w:numPr>
          <w:ilvl w:val="0"/>
          <w:numId w:val="0"/>
        </w:numPr>
        <w:spacing w:lineRule="auto" w:line="240" w:before="0" w:after="0"/>
        <w:ind w:left="0" w:firstLine="567"/>
        <w:contextualSpacing/>
        <w:jc w:val="both"/>
        <w:outlineLvl w:val="2"/>
        <w:rPr>
          <w:rFonts w:ascii="Times New Roman" w:hAnsi="Times New Roman" w:cs="Times New Roman"/>
          <w:bCs/>
          <w:sz w:val="28"/>
          <w:szCs w:val="28"/>
        </w:rPr>
      </w:pPr>
      <w:r>
        <w:rPr>
          <w:rFonts w:cs="Times New Roman" w:ascii="Times New Roman" w:hAnsi="Times New Roman"/>
          <w:bCs/>
          <w:sz w:val="28"/>
          <w:szCs w:val="28"/>
        </w:rPr>
        <w:t>Задачей программы профилактики является:</w:t>
      </w:r>
    </w:p>
    <w:p>
      <w:pPr>
        <w:pStyle w:val="ListParagraph"/>
        <w:numPr>
          <w:ilvl w:val="0"/>
          <w:numId w:val="0"/>
        </w:numPr>
        <w:spacing w:lineRule="auto" w:line="240" w:before="0" w:after="0"/>
        <w:ind w:left="0" w:firstLine="567"/>
        <w:contextualSpacing/>
        <w:jc w:val="both"/>
        <w:outlineLvl w:val="2"/>
        <w:rPr>
          <w:rFonts w:ascii="Times New Roman" w:hAnsi="Times New Roman" w:cs="Times New Roman"/>
          <w:bCs/>
          <w:sz w:val="28"/>
          <w:szCs w:val="28"/>
        </w:rPr>
      </w:pPr>
      <w:r>
        <w:rPr>
          <w:rFonts w:cs="Times New Roman" w:ascii="Times New Roman" w:hAnsi="Times New Roman"/>
          <w:bCs/>
          <w:sz w:val="28"/>
          <w:szCs w:val="28"/>
        </w:rPr>
        <w:t>-</w:t>
        <w:tab/>
        <w:t xml:space="preserve">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 </w:t>
      </w:r>
    </w:p>
    <w:p>
      <w:pPr>
        <w:pStyle w:val="ListParagraph"/>
        <w:numPr>
          <w:ilvl w:val="0"/>
          <w:numId w:val="0"/>
        </w:numPr>
        <w:spacing w:lineRule="auto" w:line="240" w:before="0" w:after="0"/>
        <w:ind w:left="0" w:firstLine="567"/>
        <w:contextualSpacing/>
        <w:jc w:val="both"/>
        <w:outlineLvl w:val="2"/>
        <w:rPr>
          <w:rFonts w:ascii="Times New Roman" w:hAnsi="Times New Roman" w:cs="Times New Roman"/>
          <w:bCs/>
          <w:sz w:val="28"/>
          <w:szCs w:val="28"/>
        </w:rPr>
      </w:pPr>
      <w:r>
        <w:rPr>
          <w:rFonts w:cs="Times New Roman" w:ascii="Times New Roman" w:hAnsi="Times New Roman"/>
          <w:bCs/>
          <w:sz w:val="28"/>
          <w:szCs w:val="28"/>
        </w:rPr>
        <w:t>-</w:t>
        <w:tab/>
        <w:t xml:space="preserve">устранение причин, факторов и условий, способствующих возможному причинению вреда охраняемым законом ценностям и нарушению обязательных требований; </w:t>
      </w:r>
    </w:p>
    <w:p>
      <w:pPr>
        <w:pStyle w:val="ListParagraph"/>
        <w:numPr>
          <w:ilvl w:val="0"/>
          <w:numId w:val="0"/>
        </w:numPr>
        <w:spacing w:lineRule="auto" w:line="240" w:before="0" w:after="0"/>
        <w:ind w:left="0" w:firstLine="567"/>
        <w:contextualSpacing/>
        <w:jc w:val="both"/>
        <w:outlineLvl w:val="2"/>
        <w:rPr>
          <w:rFonts w:ascii="Times New Roman" w:hAnsi="Times New Roman" w:cs="Times New Roman"/>
          <w:bCs/>
          <w:sz w:val="28"/>
          <w:szCs w:val="28"/>
        </w:rPr>
      </w:pPr>
      <w:r>
        <w:rPr>
          <w:rFonts w:cs="Times New Roman" w:ascii="Times New Roman" w:hAnsi="Times New Roman"/>
          <w:bCs/>
          <w:sz w:val="28"/>
          <w:szCs w:val="28"/>
        </w:rPr>
        <w:t>-</w:t>
        <w:tab/>
        <w:t>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(класса опасности), проведение профилактических мероприятий с учетом данных факторов;</w:t>
      </w:r>
    </w:p>
    <w:p>
      <w:pPr>
        <w:pStyle w:val="ListParagraph"/>
        <w:numPr>
          <w:ilvl w:val="0"/>
          <w:numId w:val="0"/>
        </w:numPr>
        <w:spacing w:lineRule="auto" w:line="240" w:before="0" w:after="0"/>
        <w:ind w:left="0" w:firstLine="567"/>
        <w:contextualSpacing/>
        <w:jc w:val="both"/>
        <w:outlineLvl w:val="2"/>
        <w:rPr>
          <w:rFonts w:ascii="Times New Roman" w:hAnsi="Times New Roman" w:cs="Times New Roman"/>
          <w:bCs/>
          <w:sz w:val="28"/>
          <w:szCs w:val="28"/>
        </w:rPr>
      </w:pPr>
      <w:r>
        <w:rPr>
          <w:rFonts w:cs="Times New Roman" w:ascii="Times New Roman" w:hAnsi="Times New Roman"/>
          <w:bCs/>
          <w:sz w:val="28"/>
          <w:szCs w:val="28"/>
        </w:rPr>
        <w:t>-</w:t>
        <w:tab/>
        <w:t xml:space="preserve">определение перечня видов и сбор статистических данных, необходимых для организации профилактической работы; </w:t>
      </w:r>
    </w:p>
    <w:p>
      <w:pPr>
        <w:pStyle w:val="ListParagraph"/>
        <w:numPr>
          <w:ilvl w:val="0"/>
          <w:numId w:val="0"/>
        </w:numPr>
        <w:spacing w:lineRule="auto" w:line="240" w:before="0" w:after="0"/>
        <w:ind w:left="0" w:firstLine="567"/>
        <w:contextualSpacing/>
        <w:jc w:val="both"/>
        <w:outlineLvl w:val="2"/>
        <w:rPr>
          <w:rFonts w:ascii="Times New Roman" w:hAnsi="Times New Roman" w:cs="Times New Roman"/>
          <w:bCs/>
          <w:sz w:val="28"/>
          <w:szCs w:val="28"/>
        </w:rPr>
      </w:pPr>
      <w:r>
        <w:rPr>
          <w:rFonts w:cs="Times New Roman" w:ascii="Times New Roman" w:hAnsi="Times New Roman"/>
          <w:bCs/>
          <w:sz w:val="28"/>
          <w:szCs w:val="28"/>
        </w:rPr>
        <w:t>-</w:t>
        <w:tab/>
        <w:t xml:space="preserve">повышение квалификации кадрового состава контрольно-надзорных органов; </w:t>
      </w:r>
    </w:p>
    <w:p>
      <w:pPr>
        <w:pStyle w:val="ListParagraph"/>
        <w:numPr>
          <w:ilvl w:val="0"/>
          <w:numId w:val="0"/>
        </w:numPr>
        <w:spacing w:lineRule="auto" w:line="240" w:before="0" w:after="0"/>
        <w:ind w:left="0" w:firstLine="567"/>
        <w:contextualSpacing/>
        <w:jc w:val="both"/>
        <w:outlineLvl w:val="2"/>
        <w:rPr>
          <w:rFonts w:ascii="Times New Roman" w:hAnsi="Times New Roman" w:cs="Times New Roman"/>
          <w:bCs/>
          <w:sz w:val="28"/>
          <w:szCs w:val="28"/>
        </w:rPr>
      </w:pPr>
      <w:r>
        <w:rPr>
          <w:rFonts w:cs="Times New Roman" w:ascii="Times New Roman" w:hAnsi="Times New Roman"/>
          <w:bCs/>
          <w:sz w:val="28"/>
          <w:szCs w:val="28"/>
        </w:rPr>
        <w:t>-</w:t>
        <w:tab/>
        <w:t xml:space="preserve">создание системы консультирования подконтрольных субъектов, в том числе с использованием современных информационно-телекоммуникационных технологий;  </w:t>
      </w:r>
    </w:p>
    <w:p>
      <w:pPr>
        <w:pStyle w:val="ListParagraph"/>
        <w:numPr>
          <w:ilvl w:val="0"/>
          <w:numId w:val="0"/>
        </w:numPr>
        <w:spacing w:lineRule="auto" w:line="240" w:before="0" w:after="0"/>
        <w:ind w:left="0" w:firstLine="567"/>
        <w:contextualSpacing/>
        <w:jc w:val="both"/>
        <w:outlineLvl w:val="2"/>
        <w:rPr>
          <w:rFonts w:ascii="Times New Roman" w:hAnsi="Times New Roman" w:cs="Times New Roman"/>
          <w:bCs/>
          <w:sz w:val="28"/>
          <w:szCs w:val="28"/>
        </w:rPr>
      </w:pPr>
      <w:r>
        <w:rPr>
          <w:rFonts w:cs="Times New Roman" w:ascii="Times New Roman" w:hAnsi="Times New Roman"/>
          <w:bCs/>
          <w:sz w:val="28"/>
          <w:szCs w:val="28"/>
        </w:rPr>
        <w:t>-</w:t>
        <w:tab/>
        <w:t>другие задачи в зависимости от выявленных проблем безопасности регулируемой сферы и текущего состояния профилактической работы.</w:t>
      </w:r>
    </w:p>
    <w:p>
      <w:pPr>
        <w:pStyle w:val="ListParagraph"/>
        <w:numPr>
          <w:ilvl w:val="0"/>
          <w:numId w:val="0"/>
        </w:numPr>
        <w:ind w:left="0" w:firstLine="567"/>
        <w:jc w:val="both"/>
        <w:outlineLvl w:val="2"/>
        <w:rPr>
          <w:rFonts w:ascii="Times New Roman" w:hAnsi="Times New Roman" w:cs="Times New Roman"/>
          <w:bCs/>
          <w:sz w:val="28"/>
          <w:szCs w:val="28"/>
        </w:rPr>
      </w:pPr>
      <w:r>
        <w:rPr>
          <w:rFonts w:cs="Times New Roman" w:ascii="Times New Roman" w:hAnsi="Times New Roman"/>
          <w:bCs/>
          <w:sz w:val="28"/>
          <w:szCs w:val="28"/>
        </w:rPr>
      </w:r>
    </w:p>
    <w:p>
      <w:pPr>
        <w:pStyle w:val="ListParagraph"/>
        <w:numPr>
          <w:ilvl w:val="0"/>
          <w:numId w:val="0"/>
        </w:numPr>
        <w:ind w:left="0" w:firstLine="567"/>
        <w:jc w:val="both"/>
        <w:outlineLvl w:val="2"/>
        <w:rPr>
          <w:rFonts w:ascii="Times New Roman" w:hAnsi="Times New Roman" w:cs="Times New Roman"/>
          <w:b/>
          <w:sz w:val="28"/>
          <w:szCs w:val="28"/>
        </w:rPr>
      </w:pPr>
      <w:r>
        <w:rPr>
          <w:rFonts w:cs="Times New Roman" w:ascii="Times New Roman" w:hAnsi="Times New Roman"/>
          <w:b/>
          <w:bCs/>
          <w:sz w:val="28"/>
          <w:szCs w:val="28"/>
        </w:rPr>
        <w:t>Раздел 3. Перечень профилактических мероприятий, сроки (периодичность) их проведения</w:t>
      </w:r>
    </w:p>
    <w:tbl>
      <w:tblPr>
        <w:tblStyle w:val="a4"/>
        <w:tblW w:w="9922" w:type="dxa"/>
        <w:jc w:val="left"/>
        <w:tblInd w:w="279" w:type="dxa"/>
        <w:tblLayout w:type="fixed"/>
        <w:tblCellMar>
          <w:top w:w="0" w:type="dxa"/>
          <w:left w:w="108" w:type="dxa"/>
          <w:bottom w:w="0" w:type="dxa"/>
          <w:right w:w="108" w:type="dxa"/>
        </w:tblCellMar>
        <w:tblLook w:noVBand="1" w:val="04a0" w:noHBand="0" w:lastColumn="0" w:firstColumn="1" w:lastRow="0" w:firstRow="1"/>
      </w:tblPr>
      <w:tblGrid>
        <w:gridCol w:w="514"/>
        <w:gridCol w:w="2912"/>
        <w:gridCol w:w="2153"/>
        <w:gridCol w:w="2107"/>
        <w:gridCol w:w="2236"/>
      </w:tblGrid>
      <w:tr>
        <w:trPr/>
        <w:tc>
          <w:tcPr>
            <w:tcW w:w="514" w:type="dxa"/>
            <w:tcBorders/>
          </w:tcPr>
          <w:p>
            <w:pPr>
              <w:pStyle w:val="Normal"/>
              <w:widowControl w:val="false"/>
              <w:suppressAutoHyphens w:val="true"/>
              <w:spacing w:before="0" w:after="0"/>
              <w:jc w:val="center"/>
              <w:rPr>
                <w:rFonts w:ascii="Times New Roman" w:hAnsi="Times New Roman" w:cs="Times New Roman"/>
                <w:b/>
                <w:sz w:val="24"/>
                <w:szCs w:val="24"/>
              </w:rPr>
            </w:pPr>
            <w:r>
              <w:rPr>
                <w:rFonts w:cs="Times New Roman" w:ascii="Times New Roman" w:hAnsi="Times New Roman"/>
                <w:b/>
                <w:kern w:val="0"/>
                <w:sz w:val="24"/>
                <w:szCs w:val="24"/>
                <w:lang w:val="ru-RU" w:bidi="ar-SA"/>
              </w:rPr>
              <w:t>№</w:t>
            </w:r>
          </w:p>
        </w:tc>
        <w:tc>
          <w:tcPr>
            <w:tcW w:w="2912" w:type="dxa"/>
            <w:tcBorders/>
          </w:tcPr>
          <w:p>
            <w:pPr>
              <w:pStyle w:val="Normal"/>
              <w:widowControl w:val="false"/>
              <w:suppressAutoHyphens w:val="true"/>
              <w:spacing w:before="0" w:after="0"/>
              <w:jc w:val="center"/>
              <w:rPr>
                <w:rFonts w:ascii="Times New Roman" w:hAnsi="Times New Roman" w:cs="Times New Roman"/>
                <w:b/>
                <w:sz w:val="24"/>
                <w:szCs w:val="24"/>
              </w:rPr>
            </w:pPr>
            <w:r>
              <w:rPr>
                <w:rFonts w:cs="Times New Roman" w:ascii="Times New Roman" w:hAnsi="Times New Roman"/>
                <w:b/>
                <w:kern w:val="0"/>
                <w:sz w:val="24"/>
                <w:szCs w:val="24"/>
                <w:lang w:val="ru-RU" w:bidi="ar-SA"/>
              </w:rPr>
              <w:t>Формы профилактических мероприятий</w:t>
            </w:r>
          </w:p>
        </w:tc>
        <w:tc>
          <w:tcPr>
            <w:tcW w:w="2153" w:type="dxa"/>
            <w:tcBorders/>
          </w:tcPr>
          <w:p>
            <w:pPr>
              <w:pStyle w:val="Normal"/>
              <w:widowControl w:val="false"/>
              <w:suppressAutoHyphens w:val="true"/>
              <w:spacing w:before="0" w:after="0"/>
              <w:jc w:val="center"/>
              <w:rPr>
                <w:rFonts w:ascii="Times New Roman" w:hAnsi="Times New Roman" w:cs="Times New Roman"/>
                <w:b/>
                <w:sz w:val="24"/>
                <w:szCs w:val="24"/>
              </w:rPr>
            </w:pPr>
            <w:r>
              <w:rPr>
                <w:rFonts w:cs="Times New Roman" w:ascii="Times New Roman" w:hAnsi="Times New Roman"/>
                <w:b/>
                <w:kern w:val="0"/>
                <w:sz w:val="24"/>
                <w:szCs w:val="24"/>
                <w:lang w:val="ru-RU" w:bidi="ar-SA"/>
              </w:rPr>
              <w:t>Ответственные исполнители</w:t>
            </w:r>
          </w:p>
        </w:tc>
        <w:tc>
          <w:tcPr>
            <w:tcW w:w="2107" w:type="dxa"/>
            <w:tcBorders/>
          </w:tcPr>
          <w:p>
            <w:pPr>
              <w:pStyle w:val="Normal"/>
              <w:widowControl w:val="false"/>
              <w:suppressAutoHyphens w:val="true"/>
              <w:spacing w:before="0" w:after="0"/>
              <w:jc w:val="center"/>
              <w:rPr>
                <w:rFonts w:ascii="Times New Roman" w:hAnsi="Times New Roman" w:cs="Times New Roman"/>
                <w:b/>
                <w:sz w:val="24"/>
                <w:szCs w:val="24"/>
              </w:rPr>
            </w:pPr>
            <w:r>
              <w:rPr>
                <w:rFonts w:cs="Times New Roman" w:ascii="Times New Roman" w:hAnsi="Times New Roman"/>
                <w:b/>
                <w:kern w:val="0"/>
                <w:sz w:val="24"/>
                <w:szCs w:val="24"/>
                <w:lang w:val="ru-RU" w:bidi="ar-SA"/>
              </w:rPr>
              <w:t>Периодичность проведения, сроки выполнения</w:t>
            </w:r>
          </w:p>
        </w:tc>
        <w:tc>
          <w:tcPr>
            <w:tcW w:w="2236" w:type="dxa"/>
            <w:tcBorders/>
          </w:tcPr>
          <w:p>
            <w:pPr>
              <w:pStyle w:val="Normal"/>
              <w:widowControl w:val="false"/>
              <w:suppressAutoHyphens w:val="true"/>
              <w:spacing w:before="0" w:after="0"/>
              <w:ind w:left="0" w:right="0" w:firstLine="317"/>
              <w:jc w:val="center"/>
              <w:rPr>
                <w:rFonts w:ascii="Times New Roman" w:hAnsi="Times New Roman" w:cs="Times New Roman"/>
                <w:b/>
                <w:sz w:val="24"/>
                <w:szCs w:val="24"/>
              </w:rPr>
            </w:pPr>
            <w:r>
              <w:rPr>
                <w:rFonts w:cs="Times New Roman" w:ascii="Times New Roman" w:hAnsi="Times New Roman"/>
                <w:b/>
                <w:kern w:val="0"/>
                <w:sz w:val="24"/>
                <w:szCs w:val="24"/>
                <w:lang w:val="ru-RU" w:bidi="ar-SA"/>
              </w:rPr>
              <w:t>Примечание</w:t>
            </w:r>
          </w:p>
        </w:tc>
      </w:tr>
      <w:tr>
        <w:trPr/>
        <w:tc>
          <w:tcPr>
            <w:tcW w:w="514"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w:t>
            </w:r>
          </w:p>
        </w:tc>
        <w:tc>
          <w:tcPr>
            <w:tcW w:w="2912"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Информирование юридических лиц и индивидуальных предпринимателей, осуществляющих  пользование недрами местного значения, соблюдение обязательных требований которые оцениваются при проведении мероприятий в рамках регионального государственного геологического контроля (надзора).</w:t>
            </w:r>
          </w:p>
        </w:tc>
        <w:tc>
          <w:tcPr>
            <w:tcW w:w="215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государственной инспекции экологического надзора,</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Отдел правового обеспечения</w:t>
            </w:r>
          </w:p>
        </w:tc>
        <w:tc>
          <w:tcPr>
            <w:tcW w:w="2107"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В течении года</w:t>
            </w:r>
          </w:p>
        </w:tc>
        <w:tc>
          <w:tcPr>
            <w:tcW w:w="2236"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Размещение на официальном сайте Министерства в разделе «Государственный геологический надзор»</w:t>
            </w:r>
          </w:p>
        </w:tc>
      </w:tr>
      <w:tr>
        <w:trPr/>
        <w:tc>
          <w:tcPr>
            <w:tcW w:w="514"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2912"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Разработка руководства по соблюдению обязательных требований, выполнение которого оценивается в ходе проведения мероприятий по осуществлению регионального государственного геологического контроля (надзора)</w:t>
            </w:r>
          </w:p>
        </w:tc>
        <w:tc>
          <w:tcPr>
            <w:tcW w:w="215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государственной инспекции экологического надзора</w:t>
            </w:r>
          </w:p>
        </w:tc>
        <w:tc>
          <w:tcPr>
            <w:tcW w:w="2107"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В течение года</w:t>
            </w:r>
          </w:p>
        </w:tc>
        <w:tc>
          <w:tcPr>
            <w:tcW w:w="2236"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Размещение на официальном сайте Министерства в разделе «Государственный геологический надзор»</w:t>
            </w:r>
          </w:p>
        </w:tc>
      </w:tr>
      <w:tr>
        <w:trPr/>
        <w:tc>
          <w:tcPr>
            <w:tcW w:w="514"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3.</w:t>
            </w:r>
          </w:p>
        </w:tc>
        <w:tc>
          <w:tcPr>
            <w:tcW w:w="2912"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Обобщение правоприменительной практики. Подготовка и размещение на сайте Министерства Доклада правоприменительной практики. Включение результатов обобщения правоприменительной практики в ежегодный доклад о состоянии регионального государственного геологического контроля (надзора).</w:t>
            </w:r>
          </w:p>
        </w:tc>
        <w:tc>
          <w:tcPr>
            <w:tcW w:w="215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государственной инспекции экологического надзора</w:t>
            </w:r>
          </w:p>
        </w:tc>
        <w:tc>
          <w:tcPr>
            <w:tcW w:w="2107"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 xml:space="preserve">До 1 апреля 2025г. </w:t>
            </w:r>
          </w:p>
        </w:tc>
        <w:tc>
          <w:tcPr>
            <w:tcW w:w="2236"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Размещение на официальном сайте Министерства в разделе «Государственный геологический надзор»</w:t>
            </w:r>
          </w:p>
        </w:tc>
      </w:tr>
      <w:tr>
        <w:trPr/>
        <w:tc>
          <w:tcPr>
            <w:tcW w:w="514"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4.</w:t>
            </w:r>
          </w:p>
        </w:tc>
        <w:tc>
          <w:tcPr>
            <w:tcW w:w="2912"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Актуализация перечня нормативных правовых актов, содержащих обязательные требования и размещение на сайте Министерства</w:t>
            </w:r>
          </w:p>
        </w:tc>
        <w:tc>
          <w:tcPr>
            <w:tcW w:w="215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государственной инспекции экологического надзора,</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Отдел правового обеспечения</w:t>
            </w:r>
          </w:p>
        </w:tc>
        <w:tc>
          <w:tcPr>
            <w:tcW w:w="2107"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По мере необходимости</w:t>
            </w:r>
          </w:p>
        </w:tc>
        <w:tc>
          <w:tcPr>
            <w:tcW w:w="2236"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Размещение на официальном сайте Министерства в разделе «Государственный геологический надзор»</w:t>
            </w:r>
          </w:p>
        </w:tc>
      </w:tr>
      <w:tr>
        <w:trPr/>
        <w:tc>
          <w:tcPr>
            <w:tcW w:w="514"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5.</w:t>
            </w:r>
          </w:p>
        </w:tc>
        <w:tc>
          <w:tcPr>
            <w:tcW w:w="2912"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Внесение изменений в разработанные ранее проверочные листы (списков контрольных вопросов) в случае изменения требований законодательства. </w:t>
            </w:r>
          </w:p>
        </w:tc>
        <w:tc>
          <w:tcPr>
            <w:tcW w:w="215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государственной инспекции экологического надзора,</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Отдел правового обеспечения,</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регулирования отношений недропользования,</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минерально-сырьевых и водных ресурсов</w:t>
            </w:r>
          </w:p>
        </w:tc>
        <w:tc>
          <w:tcPr>
            <w:tcW w:w="2107"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По мере необходимости</w:t>
            </w:r>
          </w:p>
        </w:tc>
        <w:tc>
          <w:tcPr>
            <w:tcW w:w="2236"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Размещение на официальном сайте Министерства в разделе «Государственный геологический надзор»</w:t>
            </w:r>
          </w:p>
        </w:tc>
      </w:tr>
      <w:tr>
        <w:trPr/>
        <w:tc>
          <w:tcPr>
            <w:tcW w:w="514"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6.</w:t>
            </w:r>
          </w:p>
        </w:tc>
        <w:tc>
          <w:tcPr>
            <w:tcW w:w="2912"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Проведение профилактических (публичных) мероприятий, семинаров с подконтрольными субъектами по разъяснению обязательных требований</w:t>
            </w:r>
          </w:p>
        </w:tc>
        <w:tc>
          <w:tcPr>
            <w:tcW w:w="215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государственной инспекции экологического надзора,</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регулирования отношений недропользования,</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минерально-сырьевых и водных ресурсов,</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информационных систем и экологического просвещения</w:t>
            </w:r>
          </w:p>
        </w:tc>
        <w:tc>
          <w:tcPr>
            <w:tcW w:w="2107"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 раз в полугодие</w:t>
            </w:r>
          </w:p>
        </w:tc>
        <w:tc>
          <w:tcPr>
            <w:tcW w:w="2236"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Размещение итогов мероприятий на официальном сайте Министерства в разделе «Государственный геологический надзор»</w:t>
            </w:r>
          </w:p>
        </w:tc>
      </w:tr>
      <w:tr>
        <w:trPr/>
        <w:tc>
          <w:tcPr>
            <w:tcW w:w="514"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7.</w:t>
            </w:r>
          </w:p>
        </w:tc>
        <w:tc>
          <w:tcPr>
            <w:tcW w:w="2912"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Объявление предостережений о недопустимости нарушения обязательных требований</w:t>
            </w:r>
          </w:p>
        </w:tc>
        <w:tc>
          <w:tcPr>
            <w:tcW w:w="215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Территориальные управления Министерства</w:t>
            </w:r>
          </w:p>
        </w:tc>
        <w:tc>
          <w:tcPr>
            <w:tcW w:w="2107"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По мере необходимости</w:t>
            </w:r>
          </w:p>
        </w:tc>
        <w:tc>
          <w:tcPr>
            <w:tcW w:w="2236"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При наличии у Министерства сведений о готовящихся или возможных нарушениях обязательных требований</w:t>
            </w:r>
          </w:p>
        </w:tc>
      </w:tr>
      <w:tr>
        <w:trPr/>
        <w:tc>
          <w:tcPr>
            <w:tcW w:w="514"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8.</w:t>
            </w:r>
          </w:p>
        </w:tc>
        <w:tc>
          <w:tcPr>
            <w:tcW w:w="2912"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Консультирование подконтрольных субъектов. </w:t>
            </w:r>
          </w:p>
        </w:tc>
        <w:tc>
          <w:tcPr>
            <w:tcW w:w="215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Территориальные управления,</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Управление государственной инспекции экологического надзора</w:t>
            </w:r>
          </w:p>
        </w:tc>
        <w:tc>
          <w:tcPr>
            <w:tcW w:w="2107"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Постоянно</w:t>
            </w:r>
          </w:p>
        </w:tc>
        <w:tc>
          <w:tcPr>
            <w:tcW w:w="2236"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Консультирование осуществляется по телефону, посредством видео-конферецсвязи, на личном приеме либо в ходе проведения профилактического мероприятия. Консультирование осуществляется без взимание платы. Консультирование осуществляется по вопросам связанным с исполнением обязательных требований в области охраны и использования недр местного значения.</w:t>
            </w:r>
          </w:p>
        </w:tc>
      </w:tr>
      <w:tr>
        <w:trPr/>
        <w:tc>
          <w:tcPr>
            <w:tcW w:w="514"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9.</w:t>
            </w:r>
          </w:p>
        </w:tc>
        <w:tc>
          <w:tcPr>
            <w:tcW w:w="2912"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Организация и проведение профилактических визитов в форме профилактической беседы по месту осуществления деятельности контролируемого лица либо путем использования видео-конференц-связи.</w:t>
            </w:r>
          </w:p>
        </w:tc>
        <w:tc>
          <w:tcPr>
            <w:tcW w:w="215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Территориальные управления,</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107"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1-4 квартал 2025г.</w:t>
            </w:r>
          </w:p>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(по мере появления сведений)</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36" w:type="dxa"/>
            <w:tcBorders/>
          </w:tcPr>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 xml:space="preserve">Юридические лица, индивидуальные предприниматели вправе отказаться от проведения профилактического визита. </w:t>
            </w:r>
          </w:p>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Профилактический визит предлагается к проводению</w:t>
            </w:r>
            <w:bookmarkStart w:id="0" w:name="_GoBack"/>
            <w:bookmarkEnd w:id="0"/>
            <w:r>
              <w:rPr>
                <w:rFonts w:cs="Times New Roman" w:ascii="Times New Roman" w:hAnsi="Times New Roman"/>
                <w:kern w:val="0"/>
                <w:sz w:val="24"/>
                <w:szCs w:val="24"/>
                <w:lang w:val="ru-RU" w:bidi="ar-SA"/>
              </w:rPr>
              <w:t xml:space="preserve"> в течение года с момента государственной регистрации организации или гражданина в качестве индивидуального предпринимателя.</w:t>
            </w:r>
          </w:p>
          <w:p>
            <w:pPr>
              <w:pStyle w:val="Normal"/>
              <w:widowControl w:val="false"/>
              <w:suppressAutoHyphens w:val="true"/>
              <w:spacing w:before="0" w:after="0"/>
              <w:jc w:val="center"/>
              <w:rPr>
                <w:rFonts w:ascii="Times New Roman" w:hAnsi="Times New Roman" w:cs="Times New Roman"/>
                <w:sz w:val="24"/>
                <w:szCs w:val="24"/>
              </w:rPr>
            </w:pPr>
            <w:r>
              <w:rPr>
                <w:rFonts w:cs="Times New Roman" w:ascii="Times New Roman" w:hAnsi="Times New Roman"/>
                <w:sz w:val="24"/>
                <w:szCs w:val="24"/>
              </w:rPr>
            </w:r>
          </w:p>
        </w:tc>
      </w:tr>
    </w:tbl>
    <w:p>
      <w:pPr>
        <w:pStyle w:val="ListParagraph"/>
        <w:numPr>
          <w:ilvl w:val="0"/>
          <w:numId w:val="0"/>
        </w:numPr>
        <w:ind w:left="0" w:firstLine="567"/>
        <w:jc w:val="both"/>
        <w:outlineLvl w:val="2"/>
        <w:rPr>
          <w:rFonts w:ascii="Times New Roman" w:hAnsi="Times New Roman" w:cs="Times New Roman"/>
          <w:b/>
          <w:bCs/>
          <w:sz w:val="28"/>
          <w:szCs w:val="28"/>
        </w:rPr>
      </w:pPr>
      <w:r>
        <w:rPr>
          <w:rFonts w:cs="Times New Roman" w:ascii="Times New Roman" w:hAnsi="Times New Roman"/>
          <w:b/>
          <w:bCs/>
          <w:sz w:val="28"/>
          <w:szCs w:val="28"/>
        </w:rPr>
      </w:r>
    </w:p>
    <w:p>
      <w:pPr>
        <w:pStyle w:val="ListParagraph"/>
        <w:numPr>
          <w:ilvl w:val="0"/>
          <w:numId w:val="0"/>
        </w:numPr>
        <w:ind w:left="0" w:firstLine="567"/>
        <w:jc w:val="both"/>
        <w:outlineLvl w:val="2"/>
        <w:rPr>
          <w:rFonts w:ascii="Times New Roman" w:hAnsi="Times New Roman" w:cs="Times New Roman"/>
          <w:b/>
          <w:bCs/>
          <w:sz w:val="28"/>
          <w:szCs w:val="28"/>
        </w:rPr>
      </w:pPr>
      <w:r>
        <w:rPr>
          <w:rFonts w:cs="Times New Roman" w:ascii="Times New Roman" w:hAnsi="Times New Roman"/>
          <w:b/>
          <w:bCs/>
          <w:sz w:val="28"/>
          <w:szCs w:val="28"/>
        </w:rPr>
        <w:t>Раздел 4. Показатели результативности и эффективности программы профилактики</w:t>
      </w:r>
    </w:p>
    <w:p>
      <w:pPr>
        <w:pStyle w:val="Normal"/>
        <w:ind w:right="-1" w:firstLine="567"/>
        <w:jc w:val="both"/>
        <w:rPr>
          <w:highlight w:val="none"/>
          <w:shd w:fill="auto" w:val="clear"/>
        </w:rPr>
      </w:pPr>
      <w:r>
        <w:rPr>
          <w:rFonts w:ascii="Times New Roman" w:hAnsi="Times New Roman"/>
          <w:sz w:val="28"/>
          <w:szCs w:val="28"/>
          <w:shd w:fill="auto" w:val="clear"/>
        </w:rPr>
        <w:t>Ключевым показателем вида контроля и его целевым значением для регионального государственного геологического контроля (надзора) является снижение количества фактов безлицензионной добычи общераспространенных полезных ископаемых на участках недр местного значения на территории Республики Татарстан, единиц: 2024г. – 53, 2025г. – 49, 2026г. – 49.</w:t>
      </w:r>
    </w:p>
    <w:p>
      <w:pPr>
        <w:pStyle w:val="Normal"/>
        <w:ind w:right="-1" w:firstLine="567"/>
        <w:jc w:val="both"/>
        <w:rPr>
          <w:rFonts w:ascii="Times New Roman" w:hAnsi="Times New Roman"/>
          <w:sz w:val="28"/>
          <w:szCs w:val="28"/>
        </w:rPr>
      </w:pPr>
      <w:r>
        <w:rPr>
          <w:rFonts w:ascii="Times New Roman" w:hAnsi="Times New Roman"/>
          <w:sz w:val="28"/>
          <w:szCs w:val="28"/>
        </w:rPr>
        <w:t>Индикативные показатели результативности и эффективности осуществления регионального государственного геологического контроля (надзора):</w:t>
      </w:r>
    </w:p>
    <w:p>
      <w:pPr>
        <w:pStyle w:val="Normal"/>
        <w:ind w:right="-1" w:firstLine="567"/>
        <w:jc w:val="both"/>
        <w:rPr>
          <w:rFonts w:ascii="Times New Roman" w:hAnsi="Times New Roman"/>
          <w:sz w:val="28"/>
          <w:szCs w:val="28"/>
        </w:rPr>
      </w:pPr>
      <w:r>
        <w:rPr>
          <w:rFonts w:ascii="Times New Roman" w:hAnsi="Times New Roman"/>
          <w:sz w:val="28"/>
          <w:szCs w:val="28"/>
        </w:rPr>
        <w:t>1. Формирование плана проверок на очередной год с учетом риск-ориентированного подхода – да;</w:t>
      </w:r>
    </w:p>
    <w:p>
      <w:pPr>
        <w:pStyle w:val="Normal"/>
        <w:ind w:right="-1" w:firstLine="567"/>
        <w:jc w:val="both"/>
        <w:rPr>
          <w:rFonts w:ascii="Times New Roman" w:hAnsi="Times New Roman"/>
          <w:sz w:val="28"/>
          <w:szCs w:val="28"/>
        </w:rPr>
      </w:pPr>
      <w:r>
        <w:rPr>
          <w:rFonts w:ascii="Times New Roman" w:hAnsi="Times New Roman"/>
          <w:sz w:val="28"/>
          <w:szCs w:val="28"/>
        </w:rPr>
        <w:t>2. Количество плановых контрольных (надзорных) мероприятий, проведенных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3. Количество внеплановых контрольных (надзорных) мероприятий, проведенных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4.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5. Общее количество контрольных (надзорных) мероприятий с взаимодействием, проведенных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6.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7. Количество контрольных (надзорных) мероприятий, проведенных с использованием средств дистанционного взаимодействия,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8. Количество обязательных профилактических визитов, проведенных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9. Количество предостережений о недопустимости нарушения обязательных требований, объявленных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10. Количество контрольных (надзорных) мероприятий, по результатам которых выявлены нарушения обязательных требований,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11.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12. Сумма административных штрафов, наложенных по результатам контрольных (надзорных) мероприятий,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13.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14.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15. Общее количество учтенных объектов контроля на конец отчетного периода;</w:t>
      </w:r>
    </w:p>
    <w:p>
      <w:pPr>
        <w:pStyle w:val="Normal"/>
        <w:ind w:right="-1" w:firstLine="567"/>
        <w:jc w:val="both"/>
        <w:rPr>
          <w:rFonts w:ascii="Times New Roman" w:hAnsi="Times New Roman"/>
          <w:sz w:val="28"/>
          <w:szCs w:val="28"/>
        </w:rPr>
      </w:pPr>
      <w:r>
        <w:rPr>
          <w:rFonts w:ascii="Times New Roman" w:hAnsi="Times New Roman"/>
          <w:sz w:val="28"/>
          <w:szCs w:val="28"/>
        </w:rPr>
        <w:t>16. Количество учтенных объектов контроля, отнесенных к категориям риска, по каждой из категорий риска, на конец отчетного периода;</w:t>
      </w:r>
    </w:p>
    <w:p>
      <w:pPr>
        <w:pStyle w:val="Normal"/>
        <w:ind w:right="-1" w:firstLine="567"/>
        <w:jc w:val="both"/>
        <w:rPr>
          <w:rFonts w:ascii="Times New Roman" w:hAnsi="Times New Roman"/>
          <w:sz w:val="28"/>
          <w:szCs w:val="28"/>
        </w:rPr>
      </w:pPr>
      <w:r>
        <w:rPr>
          <w:rFonts w:ascii="Times New Roman" w:hAnsi="Times New Roman"/>
          <w:sz w:val="28"/>
          <w:szCs w:val="28"/>
        </w:rPr>
        <w:t>17. Количество учтенных контролируемых лиц на конец отчетного периода;</w:t>
      </w:r>
    </w:p>
    <w:p>
      <w:pPr>
        <w:pStyle w:val="Normal"/>
        <w:ind w:right="-1" w:firstLine="567"/>
        <w:jc w:val="both"/>
        <w:rPr>
          <w:rFonts w:ascii="Times New Roman" w:hAnsi="Times New Roman"/>
          <w:sz w:val="28"/>
          <w:szCs w:val="28"/>
        </w:rPr>
      </w:pPr>
      <w:r>
        <w:rPr>
          <w:rFonts w:ascii="Times New Roman" w:hAnsi="Times New Roman"/>
          <w:sz w:val="28"/>
          <w:szCs w:val="28"/>
        </w:rPr>
        <w:t>18. Количество учтенных контролируемых лиц, в отношении которых проведены контрольные (надзорные) мероприятия,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19. Общее количество жалоб, поданных контролируемыми лицами в досудебном порядке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20. Количество жалоб, в отношении которых Министерством был нарушен срок рассмотрения,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21.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Министерства, либо о признании действий (бездействий) должностных лиц Министерства недействительными,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22. Количество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 за отчетный период;</w:t>
      </w:r>
    </w:p>
    <w:p>
      <w:pPr>
        <w:pStyle w:val="Normal"/>
        <w:ind w:right="-1" w:firstLine="567"/>
        <w:jc w:val="both"/>
        <w:rPr>
          <w:rFonts w:ascii="Times New Roman" w:hAnsi="Times New Roman"/>
          <w:sz w:val="28"/>
          <w:szCs w:val="28"/>
        </w:rPr>
      </w:pPr>
      <w:r>
        <w:rPr>
          <w:rFonts w:ascii="Times New Roman" w:hAnsi="Times New Roman"/>
          <w:sz w:val="28"/>
          <w:szCs w:val="28"/>
        </w:rPr>
        <w:t>23. Количество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Normal"/>
        <w:ind w:right="-1" w:firstLine="567"/>
        <w:jc w:val="both"/>
        <w:rPr>
          <w:rFonts w:ascii="Times New Roman" w:hAnsi="Times New Roman" w:cs="Times New Roman"/>
          <w:sz w:val="28"/>
          <w:szCs w:val="28"/>
        </w:rPr>
      </w:pPr>
      <w:r>
        <w:rPr>
          <w:rFonts w:ascii="Times New Roman" w:hAnsi="Times New Roman"/>
          <w:sz w:val="28"/>
          <w:szCs w:val="28"/>
        </w:rPr>
        <w:t>24.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sectPr>
      <w:headerReference w:type="default" r:id="rId3"/>
      <w:type w:val="nextPage"/>
      <w:pgSz w:w="11906" w:h="16838"/>
      <w:pgMar w:left="851" w:right="709" w:gutter="0" w:header="709" w:top="1134" w:footer="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ourier New">
    <w:charset w:val="01"/>
    <w:family w:val="roman"/>
    <w:pitch w:val="default"/>
  </w:font>
  <w:font w:name="Times New Roman">
    <w:charset w:val="01"/>
    <w:family w:val="roman"/>
    <w:pitch w:val="default"/>
  </w:font>
  <w:font w:name="Calibri Light">
    <w:charset w:val="01"/>
    <w:family w:val="roman"/>
    <w:pitch w:val="default"/>
  </w:font>
  <w:font w:name="Segoe UI">
    <w:charset w:val="01"/>
    <w:family w:val="roman"/>
    <w:pitch w:val="default"/>
  </w:font>
  <w:font w:name="PT Astra Serif">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86499696"/>
    </w:sdtPr>
    <w:sdtContent>
      <w:p>
        <w:pPr>
          <w:pStyle w:val="Style22"/>
          <w:jc w:val="center"/>
          <w:rPr/>
        </w:pPr>
        <w:r>
          <w:rPr/>
          <w:fldChar w:fldCharType="begin"/>
        </w:r>
        <w:r>
          <w:rPr/>
          <w:instrText xml:space="preserve"> PAGE </w:instrText>
        </w:r>
        <w:r>
          <w:rPr/>
          <w:fldChar w:fldCharType="separate"/>
        </w:r>
        <w:r>
          <w:rPr/>
          <w:t>9</w:t>
        </w:r>
        <w:r>
          <w:rPr/>
          <w:fldChar w:fldCharType="end"/>
        </w:r>
      </w:p>
    </w:sdtContent>
  </w:sdt>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50" w:hanging="45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41b0"/>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1">
    <w:name w:val="Heading 1"/>
    <w:basedOn w:val="Normal"/>
    <w:next w:val="Normal"/>
    <w:link w:val="11"/>
    <w:uiPriority w:val="9"/>
    <w:qFormat/>
    <w:rsid w:val="00874c4e"/>
    <w:pPr>
      <w:keepNext w:val="true"/>
      <w:keepLines/>
      <w:spacing w:lineRule="auto" w:line="259" w:before="240" w:after="0"/>
      <w:outlineLvl w:val="0"/>
    </w:pPr>
    <w:rPr>
      <w:rFonts w:ascii="Times New Roman" w:hAnsi="Times New Roman" w:eastAsia="" w:cs="" w:cstheme="majorBidi" w:eastAsiaTheme="majorEastAsia"/>
      <w:sz w:val="28"/>
      <w:szCs w:val="32"/>
      <w:lang w:eastAsia="en-US"/>
    </w:rPr>
  </w:style>
  <w:style w:type="paragraph" w:styleId="2">
    <w:name w:val="Heading 2"/>
    <w:basedOn w:val="Normal"/>
    <w:next w:val="Normal"/>
    <w:link w:val="21"/>
    <w:uiPriority w:val="9"/>
    <w:unhideWhenUsed/>
    <w:qFormat/>
    <w:rsid w:val="006e2656"/>
    <w:pPr>
      <w:keepNext w:val="true"/>
      <w:keepLines/>
      <w:spacing w:lineRule="auto" w:line="259" w:before="40" w:after="0"/>
      <w:outlineLvl w:val="1"/>
    </w:pPr>
    <w:rPr>
      <w:rFonts w:ascii="Calibri Light" w:hAnsi="Calibri Light" w:eastAsia="" w:cs="" w:asciiTheme="majorHAnsi" w:cstheme="majorBidi" w:eastAsiaTheme="majorEastAsia" w:hAnsiTheme="majorHAnsi"/>
      <w:color w:val="2E74B5" w:themeColor="accent1" w:themeShade="bf"/>
      <w:sz w:val="26"/>
      <w:szCs w:val="26"/>
      <w:lang w:eastAsia="en-US"/>
    </w:rPr>
  </w:style>
  <w:style w:type="paragraph" w:styleId="3">
    <w:name w:val="Heading 3"/>
    <w:basedOn w:val="Normal"/>
    <w:next w:val="Normal"/>
    <w:link w:val="31"/>
    <w:uiPriority w:val="9"/>
    <w:unhideWhenUsed/>
    <w:qFormat/>
    <w:rsid w:val="00874c4e"/>
    <w:pPr>
      <w:keepNext w:val="true"/>
      <w:keepLines/>
      <w:spacing w:before="40" w:after="0"/>
      <w:jc w:val="center"/>
      <w:outlineLvl w:val="2"/>
    </w:pPr>
    <w:rPr>
      <w:rFonts w:ascii="Times New Roman" w:hAnsi="Times New Roman" w:eastAsia="" w:cs="" w:cstheme="majorBidi" w:eastAsiaTheme="majorEastAsia"/>
      <w:sz w:val="28"/>
      <w:szCs w:val="24"/>
      <w:lang w:eastAsia="en-US"/>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473bef"/>
    <w:rPr>
      <w:color w:val="0000FF"/>
      <w:u w:val="single"/>
    </w:rPr>
  </w:style>
  <w:style w:type="character" w:styleId="Style11" w:customStyle="1">
    <w:name w:val="Текст выноски Знак"/>
    <w:basedOn w:val="DefaultParagraphFont"/>
    <w:link w:val="BalloonText"/>
    <w:uiPriority w:val="99"/>
    <w:semiHidden/>
    <w:qFormat/>
    <w:rsid w:val="00473bef"/>
    <w:rPr>
      <w:rFonts w:ascii="Segoe UI" w:hAnsi="Segoe UI" w:eastAsia="Times New Roman" w:cs="Segoe UI"/>
      <w:sz w:val="18"/>
      <w:szCs w:val="18"/>
      <w:lang w:eastAsia="ru-RU"/>
    </w:rPr>
  </w:style>
  <w:style w:type="character" w:styleId="11" w:customStyle="1">
    <w:name w:val="Заголовок 1 Знак"/>
    <w:basedOn w:val="DefaultParagraphFont"/>
    <w:uiPriority w:val="9"/>
    <w:qFormat/>
    <w:rsid w:val="00874c4e"/>
    <w:rPr>
      <w:rFonts w:ascii="Times New Roman" w:hAnsi="Times New Roman" w:eastAsia="" w:cs="" w:cstheme="majorBidi" w:eastAsiaTheme="majorEastAsia"/>
      <w:sz w:val="28"/>
      <w:szCs w:val="32"/>
    </w:rPr>
  </w:style>
  <w:style w:type="character" w:styleId="31" w:customStyle="1">
    <w:name w:val="Заголовок 3 Знак"/>
    <w:basedOn w:val="DefaultParagraphFont"/>
    <w:uiPriority w:val="9"/>
    <w:qFormat/>
    <w:rsid w:val="00874c4e"/>
    <w:rPr>
      <w:rFonts w:ascii="Times New Roman" w:hAnsi="Times New Roman" w:eastAsia="" w:cs="" w:cstheme="majorBidi" w:eastAsiaTheme="majorEastAsia"/>
      <w:sz w:val="28"/>
      <w:szCs w:val="24"/>
    </w:rPr>
  </w:style>
  <w:style w:type="character" w:styleId="21" w:customStyle="1">
    <w:name w:val="Заголовок 2 Знак"/>
    <w:basedOn w:val="DefaultParagraphFont"/>
    <w:uiPriority w:val="9"/>
    <w:qFormat/>
    <w:rsid w:val="006e2656"/>
    <w:rPr>
      <w:rFonts w:ascii="Calibri Light" w:hAnsi="Calibri Light" w:eastAsia="" w:cs="" w:asciiTheme="majorHAnsi" w:cstheme="majorBidi" w:eastAsiaTheme="majorEastAsia" w:hAnsiTheme="majorHAnsi"/>
      <w:color w:val="2E74B5" w:themeColor="accent1" w:themeShade="bf"/>
      <w:sz w:val="26"/>
      <w:szCs w:val="26"/>
    </w:rPr>
  </w:style>
  <w:style w:type="character" w:styleId="Style12" w:customStyle="1">
    <w:name w:val="Верхний колонтитул Знак"/>
    <w:basedOn w:val="DefaultParagraphFont"/>
    <w:uiPriority w:val="99"/>
    <w:qFormat/>
    <w:rsid w:val="00bf7c2f"/>
    <w:rPr>
      <w:rFonts w:ascii="Courier New" w:hAnsi="Courier New" w:eastAsia="Times New Roman" w:cs="Courier New"/>
      <w:sz w:val="20"/>
      <w:szCs w:val="20"/>
      <w:lang w:eastAsia="ru-RU"/>
    </w:rPr>
  </w:style>
  <w:style w:type="character" w:styleId="Style13" w:customStyle="1">
    <w:name w:val="Нижний колонтитул Знак"/>
    <w:basedOn w:val="DefaultParagraphFont"/>
    <w:uiPriority w:val="99"/>
    <w:qFormat/>
    <w:rsid w:val="00bf7c2f"/>
    <w:rPr>
      <w:rFonts w:ascii="Courier New" w:hAnsi="Courier New" w:eastAsia="Times New Roman" w:cs="Courier New"/>
      <w:sz w:val="20"/>
      <w:szCs w:val="20"/>
      <w:lang w:eastAsia="ru-RU"/>
    </w:rPr>
  </w:style>
  <w:style w:type="character" w:styleId="Style14" w:customStyle="1">
    <w:name w:val="Гипертекстовая ссылка"/>
    <w:basedOn w:val="DefaultParagraphFont"/>
    <w:uiPriority w:val="99"/>
    <w:qFormat/>
    <w:rsid w:val="00c44dee"/>
    <w:rPr>
      <w:rFonts w:cs="Times New Roman"/>
      <w:b w:val="false"/>
      <w:color w:val="106BBE"/>
    </w:rPr>
  </w:style>
  <w:style w:type="character" w:styleId="Style15">
    <w:name w:val="FollowedHyperlink"/>
    <w:rPr>
      <w:color w:val="800000"/>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1"/>
    <w:uiPriority w:val="99"/>
    <w:semiHidden/>
    <w:unhideWhenUsed/>
    <w:qFormat/>
    <w:rsid w:val="00473bef"/>
    <w:pPr/>
    <w:rPr>
      <w:rFonts w:ascii="Segoe UI" w:hAnsi="Segoe UI" w:cs="Segoe UI"/>
      <w:sz w:val="18"/>
      <w:szCs w:val="18"/>
    </w:rPr>
  </w:style>
  <w:style w:type="paragraph" w:styleId="ListParagraph">
    <w:name w:val="List Paragraph"/>
    <w:basedOn w:val="Normal"/>
    <w:uiPriority w:val="34"/>
    <w:qFormat/>
    <w:rsid w:val="00874c4e"/>
    <w:pPr>
      <w:spacing w:lineRule="auto" w:line="259" w:before="0" w:after="16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12" w:customStyle="1">
    <w:name w:val="Обычный1"/>
    <w:qFormat/>
    <w:rsid w:val="00874c4e"/>
    <w:pPr>
      <w:widowControl/>
      <w:suppressAutoHyphens w:val="true"/>
      <w:bidi w:val="0"/>
      <w:spacing w:lineRule="auto" w:line="240" w:before="0" w:after="0"/>
      <w:jc w:val="left"/>
    </w:pPr>
    <w:rPr>
      <w:rFonts w:ascii="Cambria" w:hAnsi="Cambria" w:eastAsia="Cambria" w:cs="Cambria"/>
      <w:color w:val="000000"/>
      <w:kern w:val="0"/>
      <w:sz w:val="24"/>
      <w:szCs w:val="24"/>
      <w:lang w:val="ru-RU" w:eastAsia="en-US" w:bidi="ar-SA"/>
    </w:rPr>
  </w:style>
  <w:style w:type="paragraph" w:styleId="ConsPlusNormal" w:customStyle="1">
    <w:name w:val="ConsPlusNormal"/>
    <w:qFormat/>
    <w:rsid w:val="008244e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21">
    <w:name w:val="Колонтитул"/>
    <w:basedOn w:val="Normal"/>
    <w:qFormat/>
    <w:pPr/>
    <w:rPr/>
  </w:style>
  <w:style w:type="paragraph" w:styleId="Style22">
    <w:name w:val="Header"/>
    <w:basedOn w:val="Normal"/>
    <w:link w:val="Style12"/>
    <w:uiPriority w:val="99"/>
    <w:unhideWhenUsed/>
    <w:rsid w:val="00bf7c2f"/>
    <w:pPr>
      <w:tabs>
        <w:tab w:val="clear" w:pos="708"/>
        <w:tab w:val="center" w:pos="4677" w:leader="none"/>
        <w:tab w:val="right" w:pos="9355" w:leader="none"/>
      </w:tabs>
    </w:pPr>
    <w:rPr/>
  </w:style>
  <w:style w:type="paragraph" w:styleId="Style23">
    <w:name w:val="Footer"/>
    <w:basedOn w:val="Normal"/>
    <w:link w:val="Style13"/>
    <w:uiPriority w:val="99"/>
    <w:unhideWhenUsed/>
    <w:rsid w:val="00bf7c2f"/>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rsid w:val="00473bef"/>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co.tatarstan.ru/rus/file/pub/pub_3029301.pdf"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D3B67-4D14-445C-84A3-BB4A5DCA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Application>LibreOffice/7.5.6.2$Linux_X86_64 LibreOffice_project/50$Build-2</Application>
  <AppVersion>15.0000</AppVersion>
  <Pages>9</Pages>
  <Words>2092</Words>
  <Characters>16923</Characters>
  <CharactersWithSpaces>18882</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2022-09-16T12:52:00Z</dcterms:created>
  <dc:creator>417-User1</dc:creator>
  <dc:description/>
  <dc:language>ru-RU</dc:language>
  <cp:lastModifiedBy/>
  <cp:lastPrinted>2021-09-22T10:48:00Z</cp:lastPrinted>
  <dcterms:modified xsi:type="dcterms:W3CDTF">2024-10-29T10:40:19Z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file>