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на II квартал 2024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II квартале 2024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197</w:t>
      </w:r>
      <w:r>
        <w:rPr>
          <w:rFonts w:eastAsia="Calibri"/>
          <w:sz w:val="28"/>
          <w:szCs w:val="28"/>
          <w:lang w:eastAsia="en-US"/>
        </w:rPr>
        <w:t xml:space="preserve"> закупок с начальной максимальной ценой контракта </w:t>
      </w:r>
      <w:r>
        <w:rPr>
          <w:rFonts w:eastAsia="Calibri"/>
          <w:b/>
          <w:sz w:val="28"/>
          <w:szCs w:val="28"/>
          <w:lang w:eastAsia="en-US"/>
        </w:rPr>
        <w:t>64 млн 173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sz w:val="28"/>
          <w:szCs w:val="28"/>
          <w:lang w:eastAsia="en-US"/>
        </w:rPr>
        <w:t>62 млн 823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 xml:space="preserve"> электронных аукционов, </w:t>
      </w:r>
      <w:r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открытых конкурсов в электронной форме, </w:t>
      </w:r>
      <w:r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запросов котировок.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27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</w:t>
      </w:r>
      <w:r>
        <w:rPr>
          <w:rFonts w:eastAsia="Calibri"/>
          <w:b/>
          <w:sz w:val="28"/>
          <w:szCs w:val="28"/>
          <w:lang w:eastAsia="en-US"/>
        </w:rPr>
        <w:t>135</w:t>
      </w:r>
      <w:r>
        <w:rPr>
          <w:rFonts w:eastAsia="Calibri"/>
          <w:sz w:val="28"/>
          <w:szCs w:val="28"/>
          <w:lang w:eastAsia="en-US"/>
        </w:rPr>
        <w:t xml:space="preserve"> прямых договоров.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25 096,14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24 093,98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1 002,16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18 225,50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18 108,00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117,50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699,93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674,78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25,15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18 408,33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18 408,33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1 743,60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1 538,85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204,75</w:t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64 173,50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62 823,94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1 349,56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7CC5-01B5-484E-90C8-7A32FD59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LibreOffice/7.5.6.2$Linux_X86_64 LibreOffice_project/50$Build-2</Application>
  <AppVersion>15.0000</AppVersion>
  <Pages>1</Pages>
  <Words>173</Words>
  <Characters>1017</Characters>
  <CharactersWithSpaces>1153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>415-User2</cp:lastModifiedBy>
  <cp:lastPrinted>2018-12-03T08:34:00Z</cp:lastPrinted>
  <dcterms:modified xsi:type="dcterms:W3CDTF">2024-06-27T07:23:00Z</dcterms:modified>
  <cp:revision>22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